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1418"/>
        <w:gridCol w:w="7796"/>
      </w:tblGrid>
      <w:tr w:rsidR="00E06F75" w:rsidRPr="00F40002" w:rsidTr="00B25F83">
        <w:trPr>
          <w:gridAfter w:val="1"/>
          <w:wAfter w:w="7796" w:type="dxa"/>
        </w:trPr>
        <w:tc>
          <w:tcPr>
            <w:tcW w:w="1418" w:type="dxa"/>
            <w:shd w:val="clear" w:color="auto" w:fill="auto"/>
          </w:tcPr>
          <w:p w:rsidR="00E06F75" w:rsidRPr="00F40002" w:rsidRDefault="00E06F75" w:rsidP="00140CC3">
            <w:pPr>
              <w:pStyle w:val="Header"/>
              <w:rPr>
                <w:rFonts w:cs="Arial"/>
                <w:caps/>
                <w:color w:val="A6A6A6"/>
                <w:sz w:val="20"/>
                <w:highlight w:val="yellow"/>
              </w:rPr>
            </w:pPr>
            <w:r>
              <w:rPr>
                <w:rFonts w:cs="Calibri"/>
              </w:rPr>
              <w:br w:type="page"/>
            </w:r>
            <w:r>
              <w:rPr>
                <w:rFonts w:ascii="Times New Roman" w:hAnsi="Times New Roman"/>
              </w:rPr>
              <w:br w:type="page"/>
            </w:r>
            <w:r w:rsidR="00B25F83" w:rsidRPr="00F40002">
              <w:rPr>
                <w:rFonts w:cs="Arial"/>
                <w:caps/>
                <w:color w:val="A6A6A6"/>
                <w:sz w:val="20"/>
                <w:highlight w:val="yellow"/>
              </w:rPr>
              <w:t xml:space="preserve"> </w:t>
            </w:r>
          </w:p>
        </w:tc>
      </w:tr>
      <w:tr w:rsidR="00E06F75" w:rsidRPr="00570BC0" w:rsidTr="00B25F83">
        <w:trPr>
          <w:trHeight w:val="249"/>
        </w:trPr>
        <w:tc>
          <w:tcPr>
            <w:tcW w:w="9214" w:type="dxa"/>
            <w:gridSpan w:val="2"/>
            <w:shd w:val="clear" w:color="auto" w:fill="auto"/>
          </w:tcPr>
          <w:p w:rsidR="00140CC3" w:rsidRPr="00570BC0" w:rsidRDefault="00140CC3" w:rsidP="00235579">
            <w:pPr>
              <w:rPr>
                <w:rFonts w:ascii="Times New Roman" w:hAnsi="Times New Roman" w:cs="Times New Roman"/>
                <w:sz w:val="24"/>
                <w:szCs w:val="24"/>
              </w:rPr>
            </w:pPr>
          </w:p>
          <w:p w:rsidR="00570BC0" w:rsidRPr="00570BC0" w:rsidRDefault="00570BC0" w:rsidP="0030179F">
            <w:pPr>
              <w:rPr>
                <w:rFonts w:ascii="Times New Roman" w:hAnsi="Times New Roman" w:cs="Times New Roman"/>
                <w:sz w:val="24"/>
                <w:szCs w:val="24"/>
              </w:rPr>
            </w:pPr>
            <w:r w:rsidRPr="00570BC0">
              <w:rPr>
                <w:rFonts w:ascii="Times New Roman" w:hAnsi="Times New Roman" w:cs="Times New Roman"/>
                <w:sz w:val="24"/>
                <w:szCs w:val="24"/>
              </w:rPr>
              <w:object w:dxaOrig="2430" w:dyaOrig="2310" w14:anchorId="3B6E4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8.5pt" o:ole="">
                  <v:imagedata r:id="rId8" o:title=""/>
                </v:shape>
                <o:OLEObject Type="Embed" ProgID="PBrush" ShapeID="_x0000_i1025" DrawAspect="Content" ObjectID="_1789900293" r:id="rId9"/>
              </w:object>
            </w:r>
          </w:p>
          <w:p w:rsidR="00140CC3" w:rsidRPr="00570BC0" w:rsidRDefault="00140CC3" w:rsidP="00140CC3">
            <w:pPr>
              <w:rPr>
                <w:rFonts w:ascii="Times New Roman" w:hAnsi="Times New Roman" w:cs="Times New Roman"/>
                <w:caps/>
                <w:sz w:val="28"/>
                <w:szCs w:val="28"/>
              </w:rPr>
            </w:pPr>
            <w:r w:rsidRPr="00570BC0">
              <w:rPr>
                <w:rFonts w:ascii="Times New Roman" w:hAnsi="Times New Roman" w:cs="Times New Roman"/>
                <w:caps/>
                <w:sz w:val="28"/>
                <w:szCs w:val="28"/>
              </w:rPr>
              <w:t>РЕПУБЛИКА СРБИЈА</w:t>
            </w:r>
          </w:p>
          <w:p w:rsidR="0030179F" w:rsidRPr="00570BC0" w:rsidRDefault="00057B19" w:rsidP="00140CC3">
            <w:pPr>
              <w:rPr>
                <w:rFonts w:ascii="Times New Roman" w:hAnsi="Times New Roman" w:cs="Times New Roman"/>
                <w:sz w:val="28"/>
                <w:szCs w:val="28"/>
              </w:rPr>
            </w:pPr>
            <w:r w:rsidRPr="00570BC0">
              <w:rPr>
                <w:rFonts w:ascii="Times New Roman" w:hAnsi="Times New Roman" w:cs="Times New Roman"/>
                <w:sz w:val="28"/>
                <w:szCs w:val="28"/>
              </w:rPr>
              <w:t>Општина Горњи Милановац</w:t>
            </w:r>
          </w:p>
          <w:p w:rsidR="00057B19" w:rsidRDefault="00057B19" w:rsidP="00140CC3">
            <w:pPr>
              <w:rPr>
                <w:rFonts w:ascii="Times New Roman" w:hAnsi="Times New Roman" w:cs="Times New Roman"/>
                <w:b/>
                <w:sz w:val="28"/>
                <w:szCs w:val="28"/>
              </w:rPr>
            </w:pPr>
            <w:r w:rsidRPr="00570BC0">
              <w:rPr>
                <w:rFonts w:ascii="Times New Roman" w:hAnsi="Times New Roman" w:cs="Times New Roman"/>
                <w:b/>
                <w:sz w:val="28"/>
                <w:szCs w:val="28"/>
              </w:rPr>
              <w:t>Канцеларија за заштиту животне средине</w:t>
            </w:r>
          </w:p>
          <w:p w:rsidR="00B61BDE" w:rsidRPr="00B61BDE" w:rsidRDefault="00B61BDE" w:rsidP="00140CC3">
            <w:pPr>
              <w:rPr>
                <w:rFonts w:ascii="Times New Roman" w:hAnsi="Times New Roman" w:cs="Times New Roman"/>
                <w:b/>
                <w:sz w:val="28"/>
                <w:szCs w:val="28"/>
              </w:rPr>
            </w:pPr>
          </w:p>
          <w:p w:rsidR="00B61BDE" w:rsidRDefault="00B61BDE" w:rsidP="00140CC3">
            <w:pPr>
              <w:rPr>
                <w:rFonts w:ascii="Times New Roman" w:hAnsi="Times New Roman" w:cs="Times New Roman"/>
                <w:sz w:val="28"/>
                <w:szCs w:val="28"/>
              </w:rPr>
            </w:pPr>
            <w:r w:rsidRPr="00B61BDE">
              <w:rPr>
                <w:rFonts w:ascii="Times New Roman" w:hAnsi="Times New Roman" w:cs="Times New Roman"/>
                <w:sz w:val="28"/>
                <w:szCs w:val="28"/>
              </w:rPr>
              <w:t>Телефон:</w:t>
            </w:r>
            <w:r>
              <w:rPr>
                <w:rFonts w:ascii="Times New Roman" w:hAnsi="Times New Roman" w:cs="Times New Roman"/>
                <w:sz w:val="28"/>
                <w:szCs w:val="28"/>
              </w:rPr>
              <w:t xml:space="preserve"> 032/515 0546</w:t>
            </w:r>
          </w:p>
          <w:p w:rsidR="00B61BDE" w:rsidRPr="00B61BDE" w:rsidRDefault="00575A85" w:rsidP="00140CC3">
            <w:pPr>
              <w:rPr>
                <w:rFonts w:ascii="Times New Roman" w:hAnsi="Times New Roman" w:cs="Times New Roman"/>
                <w:sz w:val="28"/>
                <w:szCs w:val="28"/>
              </w:rPr>
            </w:pPr>
            <w:r>
              <w:rPr>
                <w:rFonts w:ascii="Times New Roman" w:hAnsi="Times New Roman" w:cs="Times New Roman"/>
                <w:sz w:val="28"/>
                <w:szCs w:val="28"/>
              </w:rPr>
              <w:t>e-</w:t>
            </w:r>
            <w:r w:rsidR="00B61BDE">
              <w:rPr>
                <w:rFonts w:ascii="Times New Roman" w:hAnsi="Times New Roman" w:cs="Times New Roman"/>
                <w:sz w:val="28"/>
                <w:szCs w:val="28"/>
              </w:rPr>
              <w:t>mail:</w:t>
            </w:r>
            <w:r>
              <w:rPr>
                <w:rFonts w:ascii="Times New Roman" w:hAnsi="Times New Roman" w:cs="Times New Roman"/>
                <w:sz w:val="28"/>
                <w:szCs w:val="28"/>
              </w:rPr>
              <w:t xml:space="preserve"> </w:t>
            </w:r>
            <w:r w:rsidR="00B61BDE">
              <w:rPr>
                <w:rFonts w:ascii="Times New Roman" w:hAnsi="Times New Roman" w:cs="Times New Roman"/>
                <w:sz w:val="28"/>
                <w:szCs w:val="28"/>
              </w:rPr>
              <w:t>ekoloska</w:t>
            </w:r>
            <w:r w:rsidR="00B61BDE">
              <w:rPr>
                <w:rFonts w:ascii="Times New Roman" w:hAnsi="Times New Roman" w:cs="Times New Roman"/>
                <w:sz w:val="28"/>
                <w:szCs w:val="28"/>
                <w:lang w:val="en-US"/>
              </w:rPr>
              <w:t>@gornjimilanovac.rs</w:t>
            </w:r>
          </w:p>
          <w:p w:rsidR="00140CC3" w:rsidRPr="00570BC0" w:rsidRDefault="00140CC3" w:rsidP="00140CC3">
            <w:pPr>
              <w:jc w:val="center"/>
              <w:rPr>
                <w:rFonts w:ascii="Times New Roman" w:hAnsi="Times New Roman" w:cs="Times New Roman"/>
                <w:sz w:val="24"/>
                <w:szCs w:val="24"/>
              </w:rPr>
            </w:pPr>
          </w:p>
        </w:tc>
      </w:tr>
      <w:tr w:rsidR="00E06F75" w:rsidRPr="00570BC0" w:rsidTr="00B25F83">
        <w:tc>
          <w:tcPr>
            <w:tcW w:w="9214" w:type="dxa"/>
            <w:gridSpan w:val="2"/>
            <w:shd w:val="clear" w:color="auto" w:fill="auto"/>
          </w:tcPr>
          <w:p w:rsidR="00E06F75" w:rsidRPr="00570BC0" w:rsidRDefault="00E06F75" w:rsidP="00107DBE">
            <w:pPr>
              <w:rPr>
                <w:rFonts w:ascii="Times New Roman" w:hAnsi="Times New Roman" w:cs="Times New Roman"/>
                <w:b/>
                <w:caps/>
                <w:sz w:val="24"/>
                <w:szCs w:val="24"/>
              </w:rPr>
            </w:pPr>
          </w:p>
        </w:tc>
      </w:tr>
      <w:tr w:rsidR="00E06F75" w:rsidRPr="00570BC0" w:rsidTr="00B25F83">
        <w:tc>
          <w:tcPr>
            <w:tcW w:w="9214" w:type="dxa"/>
            <w:gridSpan w:val="2"/>
            <w:shd w:val="clear" w:color="auto" w:fill="auto"/>
          </w:tcPr>
          <w:p w:rsidR="00E06F75" w:rsidRPr="00570BC0" w:rsidRDefault="00E06F75" w:rsidP="00107DBE">
            <w:pPr>
              <w:rPr>
                <w:rFonts w:ascii="Times New Roman" w:hAnsi="Times New Roman" w:cs="Times New Roman"/>
                <w:b/>
                <w:caps/>
                <w:sz w:val="24"/>
                <w:szCs w:val="24"/>
              </w:rPr>
            </w:pPr>
            <w:r w:rsidRPr="00570BC0">
              <w:rPr>
                <w:rFonts w:ascii="Times New Roman" w:hAnsi="Times New Roman" w:cs="Times New Roman"/>
                <w:b/>
                <w:caps/>
                <w:sz w:val="24"/>
                <w:szCs w:val="24"/>
              </w:rPr>
              <w:t xml:space="preserve"> </w:t>
            </w:r>
          </w:p>
        </w:tc>
      </w:tr>
    </w:tbl>
    <w:p w:rsidR="00E06F75" w:rsidRPr="00570BC0" w:rsidRDefault="00E06F75" w:rsidP="00FC5BC9">
      <w:pPr>
        <w:spacing w:line="276" w:lineRule="auto"/>
        <w:jc w:val="both"/>
        <w:rPr>
          <w:rFonts w:ascii="Times New Roman" w:hAnsi="Times New Roman" w:cs="Times New Roman"/>
          <w:b/>
          <w:sz w:val="24"/>
          <w:szCs w:val="24"/>
        </w:rPr>
      </w:pPr>
    </w:p>
    <w:p w:rsidR="00E06F75" w:rsidRPr="00570BC0" w:rsidRDefault="00E06F75" w:rsidP="00FC5BC9">
      <w:pPr>
        <w:spacing w:line="276" w:lineRule="auto"/>
        <w:jc w:val="center"/>
        <w:rPr>
          <w:rFonts w:ascii="Times New Roman" w:hAnsi="Times New Roman" w:cs="Times New Roman"/>
          <w:b/>
          <w:sz w:val="24"/>
          <w:szCs w:val="24"/>
        </w:rPr>
      </w:pPr>
      <w:r w:rsidRPr="00570BC0">
        <w:rPr>
          <w:rFonts w:ascii="Times New Roman" w:hAnsi="Times New Roman" w:cs="Times New Roman"/>
          <w:b/>
          <w:sz w:val="24"/>
          <w:szCs w:val="24"/>
        </w:rPr>
        <w:t>ЗАХТЕВ ЗА ОДЛУЧИВАЊЕ О ПОТРЕБИ ПРОЦЕНЕ УТИЦАЈА</w:t>
      </w:r>
      <w:r w:rsidR="00570BC0">
        <w:rPr>
          <w:rFonts w:ascii="Times New Roman" w:hAnsi="Times New Roman" w:cs="Times New Roman"/>
          <w:b/>
          <w:sz w:val="24"/>
          <w:szCs w:val="24"/>
        </w:rPr>
        <w:t xml:space="preserve"> </w:t>
      </w:r>
      <w:r w:rsidR="00057B19" w:rsidRPr="00570BC0">
        <w:rPr>
          <w:rFonts w:ascii="Times New Roman" w:hAnsi="Times New Roman" w:cs="Times New Roman"/>
          <w:b/>
          <w:sz w:val="24"/>
          <w:szCs w:val="24"/>
        </w:rPr>
        <w:t xml:space="preserve"> И</w:t>
      </w:r>
    </w:p>
    <w:p w:rsidR="00057B19" w:rsidRPr="00570BC0" w:rsidRDefault="00057B19" w:rsidP="00FC5BC9">
      <w:pPr>
        <w:spacing w:line="276" w:lineRule="auto"/>
        <w:jc w:val="center"/>
        <w:rPr>
          <w:rFonts w:ascii="Times New Roman" w:hAnsi="Times New Roman" w:cs="Times New Roman"/>
          <w:sz w:val="24"/>
          <w:szCs w:val="24"/>
        </w:rPr>
      </w:pPr>
      <w:r w:rsidRPr="00570BC0">
        <w:rPr>
          <w:rFonts w:ascii="Times New Roman" w:hAnsi="Times New Roman" w:cs="Times New Roman"/>
          <w:b/>
          <w:sz w:val="24"/>
          <w:szCs w:val="24"/>
        </w:rPr>
        <w:t>ОДРЕЂИВАЊЕ ОБИМА И САДРЖАЈА СТУДИЈЕ О ПРОЦЕНИ УТИЦАЈА</w:t>
      </w:r>
    </w:p>
    <w:p w:rsidR="00E06F75" w:rsidRPr="00570BC0" w:rsidRDefault="00E06F75" w:rsidP="00FC5BC9">
      <w:pPr>
        <w:spacing w:line="276" w:lineRule="auto"/>
        <w:jc w:val="center"/>
        <w:rPr>
          <w:rFonts w:ascii="Times New Roman" w:hAnsi="Times New Roman" w:cs="Times New Roman"/>
          <w:b/>
          <w:sz w:val="24"/>
          <w:szCs w:val="24"/>
        </w:rPr>
      </w:pPr>
    </w:p>
    <w:p w:rsidR="00235579" w:rsidRPr="00570BC0" w:rsidRDefault="00235579" w:rsidP="00FC5BC9">
      <w:pPr>
        <w:spacing w:line="276" w:lineRule="auto"/>
        <w:jc w:val="both"/>
        <w:rPr>
          <w:rFonts w:ascii="Times New Roman" w:hAnsi="Times New Roman" w:cs="Times New Roman"/>
          <w:b/>
          <w:sz w:val="24"/>
          <w:szCs w:val="24"/>
        </w:rPr>
      </w:pPr>
    </w:p>
    <w:p w:rsidR="00E06F75" w:rsidRDefault="00E06F75" w:rsidP="00FC5BC9">
      <w:pPr>
        <w:spacing w:line="360" w:lineRule="auto"/>
        <w:ind w:left="709"/>
        <w:jc w:val="both"/>
        <w:rPr>
          <w:rFonts w:ascii="Times New Roman" w:hAnsi="Times New Roman" w:cs="Times New Roman"/>
          <w:color w:val="000000"/>
          <w:sz w:val="24"/>
          <w:szCs w:val="24"/>
        </w:rPr>
      </w:pPr>
      <w:r w:rsidRPr="00570BC0">
        <w:rPr>
          <w:rFonts w:ascii="Times New Roman" w:hAnsi="Times New Roman" w:cs="Times New Roman"/>
          <w:color w:val="000000"/>
          <w:sz w:val="24"/>
          <w:szCs w:val="24"/>
        </w:rPr>
        <w:tab/>
        <w:t>На основу члана 8. Закона о процени утицаја на животну средину (</w:t>
      </w:r>
      <w:r w:rsidRPr="00570BC0">
        <w:rPr>
          <w:rFonts w:ascii="Times New Roman" w:hAnsi="Times New Roman" w:cs="Times New Roman"/>
          <w:sz w:val="24"/>
          <w:szCs w:val="24"/>
        </w:rPr>
        <w:t>„Службени гласник РС“ број</w:t>
      </w:r>
      <w:r w:rsidRPr="00570BC0">
        <w:rPr>
          <w:rFonts w:ascii="Times New Roman" w:hAnsi="Times New Roman" w:cs="Times New Roman"/>
          <w:color w:val="000000"/>
          <w:sz w:val="24"/>
          <w:szCs w:val="24"/>
        </w:rPr>
        <w:t xml:space="preserve"> 135/</w:t>
      </w:r>
      <w:r w:rsidR="008C3068">
        <w:rPr>
          <w:rFonts w:ascii="Times New Roman" w:hAnsi="Times New Roman" w:cs="Times New Roman"/>
          <w:color w:val="000000"/>
          <w:sz w:val="24"/>
          <w:szCs w:val="24"/>
        </w:rPr>
        <w:t>20</w:t>
      </w:r>
      <w:r w:rsidRPr="00570BC0">
        <w:rPr>
          <w:rFonts w:ascii="Times New Roman" w:hAnsi="Times New Roman" w:cs="Times New Roman"/>
          <w:color w:val="000000"/>
          <w:sz w:val="24"/>
          <w:szCs w:val="24"/>
        </w:rPr>
        <w:t>04 и 36/</w:t>
      </w:r>
      <w:r w:rsidR="008C3068">
        <w:rPr>
          <w:rFonts w:ascii="Times New Roman" w:hAnsi="Times New Roman" w:cs="Times New Roman"/>
          <w:color w:val="000000"/>
          <w:sz w:val="24"/>
          <w:szCs w:val="24"/>
        </w:rPr>
        <w:t>200</w:t>
      </w:r>
      <w:r w:rsidRPr="00570BC0">
        <w:rPr>
          <w:rFonts w:ascii="Times New Roman" w:hAnsi="Times New Roman" w:cs="Times New Roman"/>
          <w:color w:val="000000"/>
          <w:sz w:val="24"/>
          <w:szCs w:val="24"/>
        </w:rPr>
        <w:t xml:space="preserve">9) и члана 2. </w:t>
      </w:r>
      <w:bookmarkStart w:id="0" w:name="__DdeLink__196_29441197111"/>
      <w:r w:rsidRPr="00570BC0">
        <w:rPr>
          <w:rFonts w:ascii="Times New Roman" w:hAnsi="Times New Roman" w:cs="Times New Roman"/>
          <w:color w:val="000000"/>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570BC0">
        <w:rPr>
          <w:rFonts w:ascii="Times New Roman" w:hAnsi="Times New Roman" w:cs="Times New Roman"/>
          <w:color w:val="000000"/>
          <w:sz w:val="24"/>
          <w:szCs w:val="24"/>
        </w:rPr>
        <w:t xml:space="preserve"> </w:t>
      </w:r>
      <w:bookmarkStart w:id="1" w:name="__DdeLink__402_140219611"/>
      <w:r w:rsidRPr="00570BC0">
        <w:rPr>
          <w:rFonts w:ascii="Times New Roman" w:hAnsi="Times New Roman" w:cs="Times New Roman"/>
          <w:color w:val="000000"/>
          <w:sz w:val="24"/>
          <w:szCs w:val="24"/>
        </w:rPr>
        <w:t>(</w:t>
      </w:r>
      <w:r w:rsidRPr="00570BC0">
        <w:rPr>
          <w:rFonts w:ascii="Times New Roman" w:hAnsi="Times New Roman" w:cs="Times New Roman"/>
          <w:sz w:val="24"/>
          <w:szCs w:val="24"/>
        </w:rPr>
        <w:t>„Службени гласник РС“ број</w:t>
      </w:r>
      <w:r w:rsidRPr="00570BC0">
        <w:rPr>
          <w:rFonts w:ascii="Times New Roman" w:hAnsi="Times New Roman" w:cs="Times New Roman"/>
          <w:color w:val="000000"/>
          <w:sz w:val="24"/>
          <w:szCs w:val="24"/>
        </w:rPr>
        <w:t xml:space="preserve"> 69/05)</w:t>
      </w:r>
      <w:bookmarkEnd w:id="1"/>
      <w:r w:rsidRPr="00570BC0">
        <w:rPr>
          <w:rFonts w:ascii="Times New Roman" w:hAnsi="Times New Roman" w:cs="Times New Roman"/>
          <w:color w:val="000000"/>
          <w:sz w:val="24"/>
          <w:szCs w:val="24"/>
        </w:rPr>
        <w:t xml:space="preserve"> подносим захтев за одлучи</w:t>
      </w:r>
      <w:r w:rsidR="00575A85">
        <w:rPr>
          <w:rFonts w:ascii="Times New Roman" w:hAnsi="Times New Roman" w:cs="Times New Roman"/>
          <w:color w:val="000000"/>
          <w:sz w:val="24"/>
          <w:szCs w:val="24"/>
        </w:rPr>
        <w:t xml:space="preserve">вање </w:t>
      </w:r>
      <w:r w:rsidR="00BD31BC">
        <w:rPr>
          <w:rFonts w:ascii="Times New Roman" w:hAnsi="Times New Roman" w:cs="Times New Roman"/>
          <w:color w:val="000000"/>
          <w:sz w:val="24"/>
          <w:szCs w:val="24"/>
        </w:rPr>
        <w:t xml:space="preserve">о потреби процене утицаја </w:t>
      </w:r>
      <w:r w:rsidR="00860C06">
        <w:rPr>
          <w:rFonts w:ascii="Times New Roman" w:hAnsi="Times New Roman" w:cs="Times New Roman"/>
          <w:color w:val="000000"/>
          <w:sz w:val="24"/>
          <w:szCs w:val="24"/>
        </w:rPr>
        <w:t xml:space="preserve">и одређивање обима и садржаја  Студије о процени утицаја на животну средину </w:t>
      </w:r>
      <w:r w:rsidRPr="00570BC0">
        <w:rPr>
          <w:rFonts w:ascii="Times New Roman" w:hAnsi="Times New Roman" w:cs="Times New Roman"/>
          <w:color w:val="000000"/>
          <w:sz w:val="24"/>
          <w:szCs w:val="24"/>
        </w:rPr>
        <w:t>ПРОЈЕКТА__________________________________</w:t>
      </w:r>
      <w:r w:rsidR="00575A85">
        <w:rPr>
          <w:rFonts w:ascii="Times New Roman" w:hAnsi="Times New Roman" w:cs="Times New Roman"/>
          <w:color w:val="000000"/>
          <w:sz w:val="24"/>
          <w:szCs w:val="24"/>
        </w:rPr>
        <w:t>____________________________</w:t>
      </w:r>
      <w:r w:rsidRPr="00570BC0">
        <w:rPr>
          <w:rFonts w:ascii="Times New Roman" w:hAnsi="Times New Roman" w:cs="Times New Roman"/>
          <w:color w:val="000000"/>
          <w:sz w:val="24"/>
          <w:szCs w:val="24"/>
        </w:rPr>
        <w:t>на катастарској парцели бр. _____________ К.О. _______________________</w:t>
      </w:r>
      <w:r w:rsidR="00FC5BC9">
        <w:rPr>
          <w:rFonts w:ascii="Times New Roman" w:hAnsi="Times New Roman" w:cs="Times New Roman"/>
          <w:color w:val="000000"/>
          <w:sz w:val="24"/>
          <w:szCs w:val="24"/>
        </w:rPr>
        <w:t>_____</w:t>
      </w:r>
      <w:r w:rsidRPr="00570BC0">
        <w:rPr>
          <w:rFonts w:ascii="Times New Roman" w:hAnsi="Times New Roman" w:cs="Times New Roman"/>
          <w:color w:val="000000"/>
          <w:sz w:val="24"/>
          <w:szCs w:val="24"/>
        </w:rPr>
        <w:t>, на територији града/општине</w:t>
      </w:r>
      <w:r w:rsidR="00BD31BC">
        <w:rPr>
          <w:rFonts w:ascii="Times New Roman" w:hAnsi="Times New Roman" w:cs="Times New Roman"/>
          <w:color w:val="000000"/>
          <w:sz w:val="24"/>
          <w:szCs w:val="24"/>
        </w:rPr>
        <w:t>______________________________</w:t>
      </w:r>
      <w:r w:rsidR="00FC5BC9">
        <w:rPr>
          <w:rFonts w:ascii="Times New Roman" w:hAnsi="Times New Roman" w:cs="Times New Roman"/>
          <w:color w:val="000000"/>
          <w:sz w:val="24"/>
          <w:szCs w:val="24"/>
        </w:rPr>
        <w:t>__________</w:t>
      </w:r>
      <w:r w:rsidR="00BD31BC">
        <w:rPr>
          <w:rFonts w:ascii="Times New Roman" w:hAnsi="Times New Roman" w:cs="Times New Roman"/>
          <w:color w:val="000000"/>
          <w:sz w:val="24"/>
          <w:szCs w:val="24"/>
        </w:rPr>
        <w:t>,</w:t>
      </w:r>
      <w:r w:rsidR="00FC5BC9">
        <w:rPr>
          <w:rFonts w:ascii="Times New Roman" w:hAnsi="Times New Roman" w:cs="Times New Roman"/>
          <w:color w:val="000000"/>
          <w:sz w:val="24"/>
          <w:szCs w:val="24"/>
        </w:rPr>
        <w:t>носица</w:t>
      </w:r>
      <w:r w:rsidR="00575A85">
        <w:rPr>
          <w:rFonts w:ascii="Times New Roman" w:hAnsi="Times New Roman" w:cs="Times New Roman"/>
          <w:color w:val="000000"/>
          <w:sz w:val="24"/>
          <w:szCs w:val="24"/>
        </w:rPr>
        <w:t xml:space="preserve"> </w:t>
      </w:r>
      <w:r w:rsidR="00FC5BC9">
        <w:rPr>
          <w:rFonts w:ascii="Times New Roman" w:hAnsi="Times New Roman" w:cs="Times New Roman"/>
          <w:color w:val="000000"/>
          <w:sz w:val="24"/>
          <w:szCs w:val="24"/>
        </w:rPr>
        <w:t xml:space="preserve">        пројекта</w:t>
      </w:r>
      <w:r w:rsidR="00BC4313">
        <w:rPr>
          <w:rFonts w:ascii="Times New Roman" w:hAnsi="Times New Roman" w:cs="Times New Roman"/>
          <w:color w:val="000000"/>
          <w:sz w:val="24"/>
          <w:szCs w:val="24"/>
        </w:rPr>
        <w:t xml:space="preserve"> </w:t>
      </w:r>
      <w:r w:rsidR="00FC5BC9">
        <w:rPr>
          <w:rFonts w:ascii="Times New Roman" w:hAnsi="Times New Roman" w:cs="Times New Roman"/>
          <w:color w:val="000000"/>
          <w:sz w:val="24"/>
          <w:szCs w:val="24"/>
        </w:rPr>
        <w:t xml:space="preserve"> </w:t>
      </w:r>
      <w:r w:rsidRPr="00570BC0">
        <w:rPr>
          <w:rFonts w:ascii="Times New Roman" w:hAnsi="Times New Roman" w:cs="Times New Roman"/>
          <w:color w:val="000000"/>
          <w:sz w:val="24"/>
          <w:szCs w:val="24"/>
        </w:rPr>
        <w:t>___________________________</w:t>
      </w:r>
      <w:r w:rsidR="00575A85">
        <w:rPr>
          <w:rFonts w:ascii="Times New Roman" w:hAnsi="Times New Roman" w:cs="Times New Roman"/>
          <w:color w:val="000000"/>
          <w:sz w:val="24"/>
          <w:szCs w:val="24"/>
        </w:rPr>
        <w:t>_______________________________</w:t>
      </w:r>
      <w:r w:rsidR="00FC5BC9">
        <w:rPr>
          <w:rFonts w:ascii="Times New Roman" w:hAnsi="Times New Roman" w:cs="Times New Roman"/>
          <w:color w:val="000000"/>
          <w:sz w:val="24"/>
          <w:szCs w:val="24"/>
        </w:rPr>
        <w:t>__</w:t>
      </w:r>
      <w:r w:rsidR="00575A85">
        <w:rPr>
          <w:rFonts w:ascii="Times New Roman" w:hAnsi="Times New Roman" w:cs="Times New Roman"/>
          <w:color w:val="000000"/>
          <w:sz w:val="24"/>
          <w:szCs w:val="24"/>
        </w:rPr>
        <w:t>.</w:t>
      </w:r>
    </w:p>
    <w:p w:rsidR="00575A85" w:rsidRPr="00807AAF" w:rsidRDefault="00575A85" w:rsidP="00FC5BC9">
      <w:pPr>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Капацитет пројекта према Уредби о утврђивању листе пројеката за које је обавезна </w:t>
      </w:r>
      <w:r w:rsidR="00BC4313">
        <w:rPr>
          <w:rFonts w:ascii="Times New Roman" w:hAnsi="Times New Roman" w:cs="Times New Roman"/>
          <w:color w:val="000000"/>
          <w:sz w:val="24"/>
          <w:szCs w:val="24"/>
        </w:rPr>
        <w:t>процена утицаја и л</w:t>
      </w:r>
      <w:r>
        <w:rPr>
          <w:rFonts w:ascii="Times New Roman" w:hAnsi="Times New Roman" w:cs="Times New Roman"/>
          <w:color w:val="000000"/>
          <w:sz w:val="24"/>
          <w:szCs w:val="24"/>
        </w:rPr>
        <w:t>исте пројеката за које се може захтевати процена утицаја на животну средину (Сл</w:t>
      </w:r>
      <w:r w:rsidR="00BC4313">
        <w:rPr>
          <w:rFonts w:ascii="Times New Roman" w:hAnsi="Times New Roman" w:cs="Times New Roman"/>
          <w:color w:val="000000"/>
          <w:sz w:val="24"/>
          <w:szCs w:val="24"/>
        </w:rPr>
        <w:t xml:space="preserve">ужбени гласник Републике Србије“ бр. </w:t>
      </w:r>
      <w:r w:rsidR="00807AAF">
        <w:rPr>
          <w:rFonts w:ascii="Times New Roman" w:hAnsi="Times New Roman" w:cs="Times New Roman"/>
          <w:color w:val="000000"/>
          <w:sz w:val="24"/>
          <w:szCs w:val="24"/>
        </w:rPr>
        <w:t>114/2008):_____________________________________________________________</w:t>
      </w:r>
    </w:p>
    <w:p w:rsidR="00575A85" w:rsidRPr="00575A85" w:rsidRDefault="00575A85" w:rsidP="00FC5BC9">
      <w:pPr>
        <w:spacing w:line="360" w:lineRule="auto"/>
        <w:ind w:left="709"/>
        <w:jc w:val="both"/>
        <w:rPr>
          <w:rFonts w:ascii="Times New Roman" w:hAnsi="Times New Roman" w:cs="Times New Roman"/>
          <w:color w:val="000000"/>
          <w:sz w:val="24"/>
          <w:szCs w:val="24"/>
        </w:rPr>
      </w:pPr>
    </w:p>
    <w:p w:rsidR="00E06F75" w:rsidRPr="00807AAF" w:rsidRDefault="00E06F75" w:rsidP="00807AAF">
      <w:pPr>
        <w:spacing w:line="360" w:lineRule="auto"/>
        <w:jc w:val="both"/>
        <w:rPr>
          <w:rFonts w:ascii="Times New Roman" w:hAnsi="Times New Roman" w:cs="Times New Roman"/>
          <w:color w:val="000000"/>
          <w:sz w:val="24"/>
          <w:szCs w:val="24"/>
        </w:rPr>
      </w:pPr>
    </w:p>
    <w:p w:rsidR="00E06F75" w:rsidRDefault="00E06F75" w:rsidP="00E06F75">
      <w:pPr>
        <w:rPr>
          <w:rFonts w:ascii="Times New Roman" w:hAnsi="Times New Roman" w:cs="Times New Roman"/>
          <w:b/>
          <w:noProof/>
          <w:sz w:val="24"/>
          <w:szCs w:val="24"/>
          <w:u w:val="single"/>
        </w:rPr>
      </w:pPr>
      <w:r w:rsidRPr="00570BC0">
        <w:rPr>
          <w:rFonts w:ascii="Times New Roman" w:hAnsi="Times New Roman" w:cs="Times New Roman"/>
          <w:b/>
          <w:noProof/>
          <w:sz w:val="24"/>
          <w:szCs w:val="24"/>
          <w:u w:val="single"/>
        </w:rPr>
        <w:t>Уз захтев достављам:</w:t>
      </w:r>
    </w:p>
    <w:p w:rsidR="00807AAF" w:rsidRPr="00807AAF" w:rsidRDefault="00807AAF" w:rsidP="00E06F75">
      <w:pPr>
        <w:rPr>
          <w:rFonts w:ascii="Times New Roman" w:hAnsi="Times New Roman" w:cs="Times New Roman"/>
          <w:b/>
          <w:noProof/>
          <w:sz w:val="24"/>
          <w:szCs w:val="24"/>
          <w:u w:val="single"/>
        </w:rPr>
      </w:pPr>
    </w:p>
    <w:p w:rsidR="00B61BDE" w:rsidRPr="00570BC0" w:rsidRDefault="00B61BDE" w:rsidP="00575A85">
      <w:pPr>
        <w:ind w:left="-142"/>
        <w:rPr>
          <w:rFonts w:ascii="Times New Roman" w:hAnsi="Times New Roman" w:cs="Times New Roman"/>
          <w:b/>
          <w:noProof/>
          <w:sz w:val="24"/>
          <w:szCs w:val="24"/>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E06F75" w:rsidRPr="00570BC0" w:rsidTr="00107DBE">
        <w:trPr>
          <w:trHeight w:val="741"/>
        </w:trPr>
        <w:tc>
          <w:tcPr>
            <w:tcW w:w="568"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РБ</w:t>
            </w:r>
          </w:p>
        </w:tc>
        <w:tc>
          <w:tcPr>
            <w:tcW w:w="5811"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Документа</w:t>
            </w:r>
          </w:p>
        </w:tc>
        <w:tc>
          <w:tcPr>
            <w:tcW w:w="2977"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Форма документа</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 xml:space="preserve">1 </w:t>
            </w:r>
          </w:p>
        </w:tc>
        <w:tc>
          <w:tcPr>
            <w:tcW w:w="5811" w:type="dxa"/>
            <w:shd w:val="clear" w:color="auto" w:fill="auto"/>
            <w:vAlign w:val="center"/>
          </w:tcPr>
          <w:p w:rsidR="00E06F75" w:rsidRPr="00F357B8"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Образац Прилог 1 ⃰</w:t>
            </w:r>
            <w:r w:rsidR="00F357B8">
              <w:rPr>
                <w:rFonts w:ascii="Times New Roman" w:hAnsi="Times New Roman" w:cs="Times New Roman"/>
                <w:sz w:val="24"/>
                <w:szCs w:val="24"/>
              </w:rPr>
              <w:t>и 2</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2.</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 xml:space="preserve">Идејно решење или идејни </w:t>
            </w:r>
            <w:r w:rsidR="004D7BEE">
              <w:rPr>
                <w:rFonts w:ascii="Times New Roman" w:hAnsi="Times New Roman" w:cs="Times New Roman"/>
                <w:sz w:val="24"/>
                <w:szCs w:val="24"/>
              </w:rPr>
              <w:t xml:space="preserve">(главни) </w:t>
            </w:r>
            <w:r w:rsidRPr="00570BC0">
              <w:rPr>
                <w:rFonts w:ascii="Times New Roman" w:hAnsi="Times New Roman" w:cs="Times New Roman"/>
                <w:sz w:val="24"/>
                <w:szCs w:val="24"/>
              </w:rPr>
              <w:t>пројекат, односно извод из идејног</w:t>
            </w:r>
            <w:r w:rsidR="004D7BEE">
              <w:rPr>
                <w:rFonts w:ascii="Times New Roman" w:hAnsi="Times New Roman" w:cs="Times New Roman"/>
                <w:sz w:val="24"/>
                <w:szCs w:val="24"/>
              </w:rPr>
              <w:t xml:space="preserve"> (главног)</w:t>
            </w:r>
            <w:r w:rsidRPr="00570BC0">
              <w:rPr>
                <w:rFonts w:ascii="Times New Roman" w:hAnsi="Times New Roman" w:cs="Times New Roman"/>
                <w:sz w:val="24"/>
                <w:szCs w:val="24"/>
              </w:rPr>
              <w:t xml:space="preserve"> пројекта</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3.</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Графички приказ микро и макро локације</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P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4.</w:t>
            </w:r>
          </w:p>
        </w:tc>
        <w:tc>
          <w:tcPr>
            <w:tcW w:w="5811" w:type="dxa"/>
            <w:shd w:val="clear" w:color="auto" w:fill="auto"/>
            <w:vAlign w:val="center"/>
          </w:tcPr>
          <w:p w:rsidR="004D7BEE" w:rsidRP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Информација о локацији, Локацијски услови, Локацијска – грађевинска дозвола</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5.</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главних алтернатива које су разматране</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6.</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чинилаца животне средине који могу бити изложени утицају</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7.</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могућих значајних штетних утицаја на животну средину</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 xml:space="preserve">8. </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мера предвиђених у циљу спречавања, смањења и отклањања значајних штетних утицаја</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9</w:t>
            </w:r>
            <w:r w:rsidR="00E06F75" w:rsidRPr="00570BC0">
              <w:rPr>
                <w:rFonts w:ascii="Times New Roman" w:hAnsi="Times New Roman" w:cs="Times New Roman"/>
                <w:b/>
                <w:noProof/>
                <w:sz w:val="24"/>
                <w:szCs w:val="24"/>
              </w:rPr>
              <w:t>.</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r w:rsidR="00E06F75" w:rsidRPr="00570BC0" w:rsidTr="00107DBE">
        <w:tc>
          <w:tcPr>
            <w:tcW w:w="568" w:type="dxa"/>
            <w:shd w:val="clear" w:color="auto" w:fill="auto"/>
          </w:tcPr>
          <w:p w:rsidR="00E06F75" w:rsidRPr="004D7BEE" w:rsidRDefault="004D7BEE" w:rsidP="004D7BE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10.</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Доказ о уплати републичке административне таксе</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bl>
    <w:p w:rsidR="00E06F75" w:rsidRPr="00570BC0" w:rsidRDefault="00E06F75" w:rsidP="00E06F75">
      <w:pPr>
        <w:rPr>
          <w:rFonts w:ascii="Times New Roman" w:hAnsi="Times New Roman" w:cs="Times New Roman"/>
          <w:sz w:val="24"/>
          <w:szCs w:val="24"/>
          <w:highlight w:val="yellow"/>
          <w:u w:val="single"/>
        </w:rPr>
      </w:pPr>
    </w:p>
    <w:p w:rsidR="00E06F75" w:rsidRPr="00570BC0" w:rsidRDefault="00E06F75" w:rsidP="00E06F75">
      <w:pPr>
        <w:pStyle w:val="tekstdokumenta"/>
        <w:spacing w:after="0" w:line="360" w:lineRule="auto"/>
        <w:ind w:firstLine="0"/>
        <w:rPr>
          <w:rFonts w:ascii="Times New Roman" w:hAnsi="Times New Roman" w:cs="Times New Roman"/>
          <w:sz w:val="24"/>
          <w:szCs w:val="24"/>
        </w:rPr>
      </w:pPr>
      <w:r w:rsidRPr="00570BC0">
        <w:rPr>
          <w:rFonts w:ascii="Times New Roman" w:hAnsi="Times New Roman" w:cs="Times New Roman"/>
          <w:sz w:val="24"/>
          <w:szCs w:val="24"/>
        </w:rPr>
        <w:t xml:space="preserve">Упознат/а сам са одредбом члана 103. став 3. Закона о општем управном поступку („Службени гласник РС“, </w:t>
      </w:r>
      <w:r w:rsidRPr="004B63A8">
        <w:rPr>
          <w:rFonts w:ascii="Times New Roman" w:hAnsi="Times New Roman" w:cs="Times New Roman"/>
          <w:color w:val="auto"/>
          <w:sz w:val="24"/>
          <w:szCs w:val="24"/>
        </w:rPr>
        <w:t>бр. 18/2016</w:t>
      </w:r>
      <w:r w:rsidR="004B63A8" w:rsidRPr="004B63A8">
        <w:rPr>
          <w:rFonts w:ascii="Times New Roman" w:hAnsi="Times New Roman" w:cs="Times New Roman"/>
          <w:color w:val="auto"/>
          <w:sz w:val="24"/>
          <w:szCs w:val="24"/>
        </w:rPr>
        <w:t xml:space="preserve"> и 95/2018-аутентично тумачење</w:t>
      </w:r>
      <w:r w:rsidRPr="004B63A8">
        <w:rPr>
          <w:rFonts w:ascii="Times New Roman" w:hAnsi="Times New Roman" w:cs="Times New Roman"/>
          <w:color w:val="auto"/>
          <w:sz w:val="24"/>
          <w:szCs w:val="24"/>
        </w:rPr>
        <w:t>), којом је прописано</w:t>
      </w:r>
      <w:r w:rsidRPr="00570BC0">
        <w:rPr>
          <w:rFonts w:ascii="Times New Roman" w:hAnsi="Times New Roman" w:cs="Times New Roman"/>
          <w:sz w:val="24"/>
          <w:szCs w:val="24"/>
        </w:rPr>
        <w:t xml:space="preserve"> да у поступку који се покреће по захтеву странке орган може</w:t>
      </w:r>
      <w:r w:rsidRPr="00570BC0">
        <w:rPr>
          <w:rFonts w:ascii="Times New Roman" w:hAnsi="Times New Roman" w:cs="Times New Roman"/>
          <w:color w:val="FF0000"/>
          <w:sz w:val="24"/>
          <w:szCs w:val="24"/>
        </w:rPr>
        <w:t xml:space="preserve"> </w:t>
      </w:r>
      <w:r w:rsidRPr="00570BC0">
        <w:rPr>
          <w:rFonts w:ascii="Times New Roman" w:hAnsi="Times New Roman" w:cs="Times New Roman"/>
          <w:sz w:val="24"/>
          <w:szCs w:val="24"/>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E06F75" w:rsidRPr="00570BC0" w:rsidRDefault="00E06F75" w:rsidP="00E06F75">
      <w:pPr>
        <w:pStyle w:val="tekstdokumenta"/>
        <w:spacing w:after="0" w:line="360" w:lineRule="auto"/>
        <w:ind w:firstLine="0"/>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831"/>
        <w:gridCol w:w="1984"/>
        <w:gridCol w:w="1985"/>
      </w:tblGrid>
      <w:tr w:rsidR="00E06F75" w:rsidRPr="00570BC0" w:rsidTr="00107DBE">
        <w:tc>
          <w:tcPr>
            <w:tcW w:w="522" w:type="dxa"/>
            <w:shd w:val="clear" w:color="auto" w:fill="D9D9D9"/>
          </w:tcPr>
          <w:p w:rsidR="00E06F75" w:rsidRPr="00570BC0" w:rsidRDefault="00E06F75" w:rsidP="00107DBE">
            <w:pPr>
              <w:spacing w:line="360" w:lineRule="auto"/>
              <w:rPr>
                <w:rFonts w:ascii="Times New Roman" w:hAnsi="Times New Roman" w:cs="Times New Roman"/>
                <w:b/>
                <w:bCs/>
                <w:color w:val="000000"/>
                <w:sz w:val="24"/>
                <w:szCs w:val="24"/>
              </w:rPr>
            </w:pPr>
          </w:p>
        </w:tc>
        <w:tc>
          <w:tcPr>
            <w:tcW w:w="4831" w:type="dxa"/>
            <w:shd w:val="clear" w:color="auto" w:fill="D9D9D9"/>
          </w:tcPr>
          <w:p w:rsidR="00E06F75" w:rsidRPr="002C532B" w:rsidRDefault="00E06F75" w:rsidP="00107DBE">
            <w:pPr>
              <w:spacing w:line="360" w:lineRule="auto"/>
              <w:rPr>
                <w:rFonts w:ascii="Times New Roman" w:hAnsi="Times New Roman" w:cs="Times New Roman"/>
                <w:bCs/>
                <w:noProof/>
                <w:color w:val="000000"/>
                <w:sz w:val="24"/>
                <w:szCs w:val="24"/>
                <w:lang w:val="sr-Cyrl-CS"/>
              </w:rPr>
            </w:pPr>
          </w:p>
        </w:tc>
        <w:tc>
          <w:tcPr>
            <w:tcW w:w="3969" w:type="dxa"/>
            <w:gridSpan w:val="2"/>
            <w:shd w:val="clear" w:color="auto" w:fill="D9D9D9"/>
          </w:tcPr>
          <w:p w:rsidR="00E06F75" w:rsidRPr="00570BC0" w:rsidRDefault="00E06F75" w:rsidP="00107DBE">
            <w:pPr>
              <w:spacing w:line="360" w:lineRule="auto"/>
              <w:rPr>
                <w:rFonts w:ascii="Times New Roman" w:hAnsi="Times New Roman" w:cs="Times New Roman"/>
                <w:b/>
                <w:bCs/>
                <w:noProof/>
                <w:color w:val="000000"/>
                <w:sz w:val="24"/>
                <w:szCs w:val="24"/>
              </w:rPr>
            </w:pPr>
            <w:r w:rsidRPr="00570BC0">
              <w:rPr>
                <w:rFonts w:ascii="Times New Roman" w:hAnsi="Times New Roman" w:cs="Times New Roman"/>
                <w:b/>
                <w:bCs/>
                <w:noProof/>
                <w:color w:val="000000"/>
                <w:sz w:val="24"/>
                <w:szCs w:val="24"/>
              </w:rPr>
              <w:t>ОЗНАЧИТЕ ЗНАКОМ X У ПОЉИМА ИСПОД</w:t>
            </w:r>
          </w:p>
        </w:tc>
      </w:tr>
      <w:tr w:rsidR="00E06F75" w:rsidRPr="00570BC0" w:rsidTr="00107DBE">
        <w:tc>
          <w:tcPr>
            <w:tcW w:w="522" w:type="dxa"/>
            <w:shd w:val="clear" w:color="auto" w:fill="D9D9D9"/>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РБ</w:t>
            </w:r>
          </w:p>
        </w:tc>
        <w:tc>
          <w:tcPr>
            <w:tcW w:w="4831" w:type="dxa"/>
            <w:shd w:val="clear" w:color="auto" w:fill="D9D9D9"/>
          </w:tcPr>
          <w:p w:rsidR="00E06F75" w:rsidRPr="002C532B" w:rsidRDefault="00E06F75" w:rsidP="00107DBE">
            <w:pPr>
              <w:spacing w:line="360" w:lineRule="auto"/>
              <w:rPr>
                <w:rFonts w:ascii="Times New Roman" w:hAnsi="Times New Roman" w:cs="Times New Roman"/>
                <w:noProof/>
                <w:color w:val="000000"/>
                <w:sz w:val="24"/>
                <w:szCs w:val="24"/>
                <w:lang w:val="sr-Cyrl-CS"/>
              </w:rPr>
            </w:pPr>
            <w:r w:rsidRPr="002C532B">
              <w:rPr>
                <w:rFonts w:ascii="Times New Roman" w:hAnsi="Times New Roman" w:cs="Times New Roman"/>
                <w:noProof/>
                <w:color w:val="000000"/>
                <w:sz w:val="24"/>
                <w:szCs w:val="24"/>
              </w:rPr>
              <w:t>Подаци из документа</w:t>
            </w:r>
          </w:p>
        </w:tc>
        <w:tc>
          <w:tcPr>
            <w:tcW w:w="1984" w:type="dxa"/>
            <w:shd w:val="clear" w:color="auto" w:fill="D9D9D9"/>
          </w:tcPr>
          <w:p w:rsidR="00E06F75" w:rsidRPr="00570BC0" w:rsidRDefault="00E06F75" w:rsidP="00107DBE">
            <w:pPr>
              <w:spacing w:line="360" w:lineRule="auto"/>
              <w:rPr>
                <w:rFonts w:ascii="Times New Roman" w:hAnsi="Times New Roman" w:cs="Times New Roman"/>
                <w:noProof/>
                <w:color w:val="000000"/>
                <w:sz w:val="24"/>
                <w:szCs w:val="24"/>
              </w:rPr>
            </w:pPr>
            <w:r w:rsidRPr="00570BC0">
              <w:rPr>
                <w:rFonts w:ascii="Times New Roman" w:hAnsi="Times New Roman" w:cs="Times New Roman"/>
                <w:noProof/>
                <w:color w:val="000000"/>
                <w:sz w:val="24"/>
                <w:szCs w:val="24"/>
              </w:rPr>
              <w:t>Сагласан сам да податке прибави орган</w:t>
            </w:r>
          </w:p>
        </w:tc>
        <w:tc>
          <w:tcPr>
            <w:tcW w:w="1985" w:type="dxa"/>
            <w:shd w:val="clear" w:color="auto" w:fill="D9D9D9"/>
          </w:tcPr>
          <w:p w:rsidR="00E06F75" w:rsidRPr="00570BC0" w:rsidRDefault="00E06F75" w:rsidP="00107DBE">
            <w:pPr>
              <w:spacing w:line="360" w:lineRule="auto"/>
              <w:rPr>
                <w:rFonts w:ascii="Times New Roman" w:hAnsi="Times New Roman" w:cs="Times New Roman"/>
                <w:noProof/>
                <w:color w:val="000000"/>
                <w:sz w:val="24"/>
                <w:szCs w:val="24"/>
              </w:rPr>
            </w:pPr>
            <w:r w:rsidRPr="00570BC0">
              <w:rPr>
                <w:rFonts w:ascii="Times New Roman" w:hAnsi="Times New Roman" w:cs="Times New Roman"/>
                <w:noProof/>
                <w:color w:val="000000"/>
                <w:sz w:val="24"/>
                <w:szCs w:val="24"/>
              </w:rPr>
              <w:t>Достављам сам</w:t>
            </w: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1.</w:t>
            </w:r>
          </w:p>
        </w:tc>
        <w:tc>
          <w:tcPr>
            <w:tcW w:w="4831" w:type="dxa"/>
            <w:shd w:val="clear" w:color="auto" w:fill="auto"/>
            <w:vAlign w:val="center"/>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sz w:val="24"/>
                <w:szCs w:val="24"/>
              </w:rPr>
              <w:t>Извод из урбанистичког плана или потврђени урбанистички пројекат, односно акт о урбанистичким условима који није старији од годину дана</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2.</w:t>
            </w:r>
          </w:p>
        </w:tc>
        <w:tc>
          <w:tcPr>
            <w:tcW w:w="4831" w:type="dxa"/>
            <w:shd w:val="clear" w:color="auto" w:fill="auto"/>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color w:val="000000"/>
                <w:sz w:val="24"/>
                <w:szCs w:val="24"/>
              </w:rPr>
              <w:t>Копија плана и Препис листа непокретности</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3.</w:t>
            </w:r>
          </w:p>
        </w:tc>
        <w:tc>
          <w:tcPr>
            <w:tcW w:w="4831" w:type="dxa"/>
            <w:shd w:val="clear" w:color="auto" w:fill="auto"/>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color w:val="000000"/>
                <w:sz w:val="24"/>
                <w:szCs w:val="24"/>
              </w:rPr>
              <w:t xml:space="preserve">Подаци о привредном друштву/предузетнику </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bl>
    <w:p w:rsidR="002C532B" w:rsidRPr="002C532B" w:rsidRDefault="002C532B" w:rsidP="00E06F75">
      <w:pPr>
        <w:pStyle w:val="NoSpacing"/>
        <w:spacing w:line="276" w:lineRule="auto"/>
        <w:rPr>
          <w:rFonts w:ascii="Times New Roman" w:hAnsi="Times New Roman"/>
          <w:bCs/>
          <w:szCs w:val="24"/>
          <w:vertAlign w:val="superscript"/>
        </w:rPr>
      </w:pPr>
    </w:p>
    <w:p w:rsidR="00A1270C" w:rsidRPr="00A1270C" w:rsidRDefault="00A1270C" w:rsidP="00E06F75">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A1270C" w:rsidRPr="00A1270C" w:rsidRDefault="00A1270C" w:rsidP="00A1270C">
      <w:pPr>
        <w:spacing w:line="276" w:lineRule="auto"/>
        <w:jc w:val="both"/>
        <w:rPr>
          <w:rStyle w:val="Bodytext6"/>
          <w:sz w:val="22"/>
          <w:szCs w:val="22"/>
        </w:rPr>
      </w:pPr>
      <w:r w:rsidRPr="00A1270C">
        <w:rPr>
          <w:rStyle w:val="Bodytext6"/>
          <w:rFonts w:cs="Times New Roman"/>
          <w:color w:val="000000"/>
          <w:sz w:val="22"/>
          <w:szCs w:val="22"/>
        </w:rPr>
        <w:t>Републичке административне таксе за захтев за одлучивање о потреби израде процене утицаја на животну средине</w:t>
      </w:r>
      <w:r w:rsidRPr="00A1270C">
        <w:rPr>
          <w:rStyle w:val="Bodytext6"/>
          <w:rFonts w:cs="Times New Roman"/>
          <w:color w:val="auto"/>
          <w:sz w:val="22"/>
          <w:szCs w:val="22"/>
        </w:rPr>
        <w:t xml:space="preserve"> у износу од </w:t>
      </w:r>
      <w:r w:rsidRPr="00B4235C">
        <w:rPr>
          <w:rStyle w:val="Bodytext6"/>
          <w:rFonts w:cs="Times New Roman"/>
          <w:b/>
          <w:color w:val="auto"/>
          <w:sz w:val="22"/>
          <w:szCs w:val="22"/>
        </w:rPr>
        <w:t>2.610,00</w:t>
      </w:r>
      <w:r w:rsidR="00144B68">
        <w:rPr>
          <w:rStyle w:val="Bodytext6"/>
          <w:rFonts w:cs="Times New Roman"/>
          <w:color w:val="auto"/>
          <w:sz w:val="22"/>
          <w:szCs w:val="22"/>
        </w:rPr>
        <w:t xml:space="preserve"> динара (</w:t>
      </w:r>
      <w:r w:rsidRPr="00A1270C">
        <w:rPr>
          <w:rStyle w:val="Bodytext6"/>
          <w:rFonts w:cs="Times New Roman"/>
          <w:color w:val="auto"/>
          <w:sz w:val="22"/>
          <w:szCs w:val="22"/>
        </w:rPr>
        <w:t xml:space="preserve">Тар. бр. 186) и </w:t>
      </w:r>
      <w:r w:rsidRPr="00A1270C">
        <w:rPr>
          <w:rStyle w:val="Bodytext6"/>
          <w:rFonts w:cs="Times New Roman"/>
          <w:color w:val="000000"/>
          <w:sz w:val="22"/>
          <w:szCs w:val="22"/>
        </w:rPr>
        <w:t>такса за одређивање обима и садржаја студије о процени утицаја</w:t>
      </w:r>
      <w:r w:rsidRPr="00A1270C">
        <w:rPr>
          <w:rStyle w:val="Bodytext6"/>
          <w:rFonts w:cs="Times New Roman"/>
          <w:color w:val="auto"/>
          <w:sz w:val="22"/>
          <w:szCs w:val="22"/>
        </w:rPr>
        <w:t xml:space="preserve"> у износу од </w:t>
      </w:r>
      <w:r w:rsidRPr="00A1270C">
        <w:rPr>
          <w:rStyle w:val="Bodytext6"/>
          <w:rFonts w:cs="Times New Roman"/>
          <w:b/>
          <w:i/>
          <w:color w:val="auto"/>
          <w:sz w:val="22"/>
          <w:szCs w:val="22"/>
        </w:rPr>
        <w:t>2.610,00</w:t>
      </w:r>
      <w:r w:rsidRPr="00A1270C">
        <w:rPr>
          <w:rStyle w:val="Bodytext6"/>
          <w:rFonts w:cs="Times New Roman"/>
          <w:color w:val="auto"/>
          <w:sz w:val="22"/>
          <w:szCs w:val="22"/>
        </w:rPr>
        <w:t xml:space="preserve"> динара (по Тар. бр. 186) 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позив на </w:t>
      </w:r>
      <w:r w:rsidRPr="00A1270C">
        <w:rPr>
          <w:rFonts w:ascii="Times New Roman" w:hAnsi="Times New Roman" w:cs="Times New Roman"/>
          <w:color w:val="auto"/>
          <w:szCs w:val="22"/>
          <w:lang w:eastAsia="en-US"/>
        </w:rPr>
        <w:t xml:space="preserve">број </w:t>
      </w:r>
      <w:r w:rsidRPr="00A1270C">
        <w:rPr>
          <w:rFonts w:ascii="Times New Roman" w:hAnsi="Times New Roman" w:cs="Times New Roman"/>
          <w:b/>
          <w:color w:val="auto"/>
          <w:szCs w:val="22"/>
          <w:lang w:eastAsia="en-US"/>
        </w:rPr>
        <w:t>97 72-041</w:t>
      </w:r>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A1270C" w:rsidRPr="00A1270C" w:rsidRDefault="00A1270C" w:rsidP="00E06F75">
      <w:pPr>
        <w:pStyle w:val="NoSpacing"/>
        <w:tabs>
          <w:tab w:val="left" w:pos="2000"/>
        </w:tabs>
        <w:spacing w:line="276" w:lineRule="auto"/>
        <w:rPr>
          <w:rFonts w:ascii="Times New Roman" w:hAnsi="Times New Roman"/>
          <w:b/>
          <w:color w:val="000000"/>
          <w:sz w:val="22"/>
        </w:rPr>
      </w:pPr>
    </w:p>
    <w:tbl>
      <w:tblPr>
        <w:tblW w:w="9503" w:type="dxa"/>
        <w:tblLook w:val="00A0" w:firstRow="1" w:lastRow="0" w:firstColumn="1" w:lastColumn="0" w:noHBand="0" w:noVBand="0"/>
      </w:tblPr>
      <w:tblGrid>
        <w:gridCol w:w="4428"/>
        <w:gridCol w:w="5075"/>
      </w:tblGrid>
      <w:tr w:rsidR="00E06F75" w:rsidRPr="00570BC0" w:rsidTr="00107DBE">
        <w:trPr>
          <w:trHeight w:val="1473"/>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r w:rsidRPr="00570BC0">
              <w:rPr>
                <w:rFonts w:ascii="Times New Roman" w:hAnsi="Times New Roman" w:cs="Times New Roman"/>
                <w:sz w:val="24"/>
                <w:szCs w:val="24"/>
              </w:rPr>
              <w:t>У________________________________,</w:t>
            </w:r>
          </w:p>
          <w:p w:rsidR="00E06F75" w:rsidRPr="00570BC0" w:rsidRDefault="00E06F75" w:rsidP="00107DBE">
            <w:pPr>
              <w:snapToGrid w:val="0"/>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__________________________ године</w:t>
            </w:r>
          </w:p>
          <w:p w:rsidR="00E06F75" w:rsidRDefault="00E06F75" w:rsidP="00107DBE">
            <w:pPr>
              <w:spacing w:line="276" w:lineRule="auto"/>
              <w:rPr>
                <w:rFonts w:ascii="Times New Roman" w:hAnsi="Times New Roman" w:cs="Times New Roman"/>
                <w:sz w:val="24"/>
                <w:szCs w:val="24"/>
              </w:rPr>
            </w:pPr>
          </w:p>
          <w:p w:rsidR="008F53C1" w:rsidRPr="00570BC0" w:rsidRDefault="008F53C1" w:rsidP="00107DBE">
            <w:pPr>
              <w:spacing w:line="276" w:lineRule="auto"/>
              <w:rPr>
                <w:rFonts w:ascii="Times New Roman" w:hAnsi="Times New Roman" w:cs="Times New Roman"/>
                <w:sz w:val="24"/>
                <w:szCs w:val="24"/>
              </w:rPr>
            </w:pPr>
          </w:p>
        </w:tc>
        <w:tc>
          <w:tcPr>
            <w:tcW w:w="5075" w:type="dxa"/>
            <w:tcBorders>
              <w:bottom w:val="single" w:sz="8" w:space="0" w:color="000001"/>
            </w:tcBorders>
            <w:vAlign w:val="bottom"/>
          </w:tcPr>
          <w:p w:rsidR="00E06F75" w:rsidRDefault="00E06F75" w:rsidP="00107DBE">
            <w:pPr>
              <w:snapToGrid w:val="0"/>
              <w:spacing w:line="276" w:lineRule="auto"/>
              <w:jc w:val="center"/>
              <w:rPr>
                <w:rFonts w:ascii="Times New Roman" w:hAnsi="Times New Roman" w:cs="Times New Roman"/>
                <w:sz w:val="24"/>
                <w:szCs w:val="24"/>
              </w:rPr>
            </w:pPr>
          </w:p>
          <w:p w:rsidR="002C532B" w:rsidRDefault="002C532B" w:rsidP="008F53C1">
            <w:pPr>
              <w:snapToGrid w:val="0"/>
              <w:spacing w:line="276" w:lineRule="auto"/>
              <w:rPr>
                <w:rFonts w:ascii="Times New Roman" w:hAnsi="Times New Roman" w:cs="Times New Roman"/>
                <w:sz w:val="24"/>
                <w:szCs w:val="24"/>
              </w:rPr>
            </w:pPr>
          </w:p>
          <w:p w:rsidR="002C532B" w:rsidRPr="0079122D" w:rsidRDefault="002C532B" w:rsidP="0079122D">
            <w:pPr>
              <w:snapToGrid w:val="0"/>
              <w:spacing w:line="276" w:lineRule="auto"/>
              <w:rPr>
                <w:rFonts w:ascii="Times New Roman" w:hAnsi="Times New Roman" w:cs="Times New Roman"/>
                <w:sz w:val="24"/>
                <w:szCs w:val="24"/>
              </w:rPr>
            </w:pPr>
          </w:p>
          <w:p w:rsidR="002C532B" w:rsidRPr="00570BC0" w:rsidRDefault="002C532B" w:rsidP="00107DBE">
            <w:pPr>
              <w:snapToGrid w:val="0"/>
              <w:spacing w:line="276" w:lineRule="auto"/>
              <w:jc w:val="center"/>
              <w:rPr>
                <w:rFonts w:ascii="Times New Roman" w:hAnsi="Times New Roman" w:cs="Times New Roman"/>
                <w:sz w:val="24"/>
                <w:szCs w:val="24"/>
              </w:rPr>
            </w:pPr>
          </w:p>
        </w:tc>
      </w:tr>
      <w:tr w:rsidR="00E06F75" w:rsidRPr="00570BC0" w:rsidTr="00107DBE">
        <w:trPr>
          <w:trHeight w:val="58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bookmarkStart w:id="2" w:name="_GoBack"/>
            <w:bookmarkEnd w:id="2"/>
          </w:p>
        </w:tc>
        <w:tc>
          <w:tcPr>
            <w:tcW w:w="5075" w:type="dxa"/>
            <w:tcBorders>
              <w:top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Име и презиме / пословно име</w:t>
            </w:r>
          </w:p>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 xml:space="preserve"> подносиоца захтева</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33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vAlign w:val="bottom"/>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ЈМБГ / ПИБ и МБ</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49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Адреса/седиште</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559"/>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tcPr>
          <w:p w:rsidR="00E06F75" w:rsidRPr="00570BC0" w:rsidRDefault="00E06F75" w:rsidP="00E06F75">
            <w:pPr>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Контакт телефон</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303"/>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Потпис (и печат за правно лице)</w:t>
            </w:r>
          </w:p>
        </w:tc>
      </w:tr>
    </w:tbl>
    <w:p w:rsidR="00E06F75" w:rsidRPr="00570BC0" w:rsidRDefault="00E06F75" w:rsidP="00E06F75">
      <w:pPr>
        <w:spacing w:line="276" w:lineRule="auto"/>
        <w:rPr>
          <w:rStyle w:val="Bodytext6"/>
          <w:rFonts w:cs="Times New Roman"/>
          <w:color w:val="000000"/>
          <w:sz w:val="24"/>
          <w:szCs w:val="24"/>
        </w:rPr>
      </w:pPr>
    </w:p>
    <w:p w:rsidR="00BF475B" w:rsidRDefault="0079122D" w:rsidP="0079122D">
      <w:pPr>
        <w:suppressAutoHyphens w:val="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D0883" w:rsidRPr="00570BC0">
        <w:rPr>
          <w:rFonts w:ascii="Times New Roman" w:hAnsi="Times New Roman" w:cs="Times New Roman"/>
          <w:b/>
          <w:sz w:val="24"/>
          <w:szCs w:val="24"/>
        </w:rPr>
        <w:t xml:space="preserve"> Прилог 1.</w:t>
      </w:r>
    </w:p>
    <w:p w:rsidR="0079122D" w:rsidRPr="0079122D" w:rsidRDefault="0079122D" w:rsidP="0079122D">
      <w:pPr>
        <w:suppressAutoHyphens w:val="0"/>
        <w:rPr>
          <w:rFonts w:ascii="Times New Roman" w:hAnsi="Times New Roman" w:cs="Times New Roman"/>
          <w:b/>
          <w:sz w:val="24"/>
          <w:szCs w:val="24"/>
        </w:rPr>
      </w:pPr>
    </w:p>
    <w:p w:rsidR="0079122D" w:rsidRPr="0079122D" w:rsidRDefault="0079122D" w:rsidP="0079122D">
      <w:pPr>
        <w:suppressAutoHyphens w:val="0"/>
        <w:rPr>
          <w:rFonts w:ascii="Times New Roman" w:hAnsi="Times New Roman" w:cs="Times New Roman"/>
          <w:sz w:val="24"/>
          <w:szCs w:val="24"/>
        </w:rPr>
      </w:pPr>
    </w:p>
    <w:p w:rsidR="000D0883" w:rsidRPr="00570BC0" w:rsidRDefault="000D0883" w:rsidP="00AA06B5">
      <w:pPr>
        <w:pStyle w:val="wyq060---pododeljak"/>
        <w:spacing w:line="276" w:lineRule="auto"/>
        <w:rPr>
          <w:rFonts w:ascii="Times New Roman" w:hAnsi="Times New Roman" w:cs="Times New Roman"/>
          <w:sz w:val="24"/>
          <w:szCs w:val="24"/>
        </w:rPr>
      </w:pPr>
      <w:r w:rsidRPr="00570BC0">
        <w:rPr>
          <w:rFonts w:ascii="Times New Roman" w:hAnsi="Times New Roman" w:cs="Times New Roman"/>
          <w:sz w:val="24"/>
          <w:szCs w:val="24"/>
        </w:rPr>
        <w:t>САДРЖИНА ЗАХТЕВА ЗА ОДЛУЧИВАЊЕ О ПОТРЕБИ ПРОЦЕНЕ УТИЦАЈА НА ЖИВОТНУ СРЕДИНУ</w:t>
      </w:r>
    </w:p>
    <w:p w:rsidR="000D0883" w:rsidRPr="00570BC0" w:rsidRDefault="000D0883" w:rsidP="00AA06B5">
      <w:pPr>
        <w:pStyle w:val="normalprored"/>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15"/>
        <w:gridCol w:w="9185"/>
      </w:tblGrid>
      <w:tr w:rsidR="000D0883" w:rsidRPr="00570BC0" w:rsidTr="00BC7407">
        <w:trPr>
          <w:tblCellSpacing w:w="0" w:type="dxa"/>
        </w:trPr>
        <w:tc>
          <w:tcPr>
            <w:tcW w:w="0" w:type="auto"/>
            <w:tcBorders>
              <w:top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1.</w:t>
            </w:r>
          </w:p>
        </w:tc>
        <w:tc>
          <w:tcPr>
            <w:tcW w:w="0" w:type="auto"/>
            <w:tcBorders>
              <w:top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Подаци о носиоцу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Назив, односно име; седиште, односно адреса; телефонски број; факс; е-маил.</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2.</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Карактеристике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величина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могуће кумулирање са ефектима других пројеката;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(в) коришћење природних ресурса и енергије;</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(г) стварање отпада;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(д) загађивање и изазивање неугодности;</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(ђ) ризик настанка удеса, посебно у погледу супстанци које се користе или техника које се примењују, у складу са прописима.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3.</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Локација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постојећег коришћења земљишта;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релативног обима, квалитета и регенеративног капацитета природних ресурса у датом подручју;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4.</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Карактеристике могућег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Могући значајни утицаји пројекта, а нарочито:</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обим утицаја (географско подручје и бројност становништва изложеног ризику);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природа прекограничног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(в) величина и сложеност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(г) вероватноћа утицаја;</w:t>
            </w:r>
          </w:p>
        </w:tc>
      </w:tr>
      <w:tr w:rsidR="000D0883" w:rsidRPr="00570BC0" w:rsidTr="00BC7407">
        <w:trPr>
          <w:tblCellSpacing w:w="0" w:type="dxa"/>
        </w:trPr>
        <w:tc>
          <w:tcPr>
            <w:tcW w:w="0" w:type="auto"/>
            <w:tcBorders>
              <w:bottom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tcBorders>
              <w:bottom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(д) трајање, учесталост и вероватноћа понављања утицаја.</w:t>
            </w:r>
          </w:p>
        </w:tc>
      </w:tr>
    </w:tbl>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9735D6" w:rsidRDefault="0079122D" w:rsidP="0079122D">
      <w:pPr>
        <w:pStyle w:val="wyq060---pododeljak"/>
        <w:jc w:val="lef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735D6" w:rsidRPr="00BF475B">
        <w:rPr>
          <w:rFonts w:ascii="Times New Roman" w:hAnsi="Times New Roman" w:cs="Times New Roman"/>
          <w:b/>
          <w:sz w:val="24"/>
          <w:szCs w:val="24"/>
        </w:rPr>
        <w:t>Прилог 2.</w:t>
      </w:r>
    </w:p>
    <w:p w:rsidR="0079122D" w:rsidRPr="0079122D" w:rsidRDefault="0079122D" w:rsidP="0079122D">
      <w:pPr>
        <w:pStyle w:val="wyq060---pododeljak"/>
        <w:jc w:val="left"/>
        <w:rPr>
          <w:rFonts w:ascii="Times New Roman" w:hAnsi="Times New Roman" w:cs="Times New Roman"/>
          <w:b/>
          <w:sz w:val="24"/>
          <w:szCs w:val="24"/>
        </w:rPr>
      </w:pPr>
    </w:p>
    <w:p w:rsidR="009735D6" w:rsidRDefault="009735D6" w:rsidP="009735D6">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9735D6" w:rsidRPr="0079122D" w:rsidRDefault="009735D6" w:rsidP="009735D6">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9180"/>
      </w:tblGrid>
      <w:tr w:rsidR="009735D6" w:rsidRPr="00C87999" w:rsidTr="00107DBE">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7.</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9735D6" w:rsidRPr="00C87999" w:rsidTr="00107DBE">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9735D6" w:rsidRDefault="009735D6" w:rsidP="009735D6">
      <w:pPr>
        <w:pStyle w:val="wyq080---odsek"/>
        <w:rPr>
          <w:rFonts w:ascii="Times New Roman" w:hAnsi="Times New Roman" w:cs="Times New Roman"/>
          <w:sz w:val="24"/>
          <w:szCs w:val="24"/>
        </w:rPr>
      </w:pPr>
      <w:bookmarkStart w:id="3" w:name="str_3"/>
      <w:bookmarkEnd w:id="3"/>
    </w:p>
    <w:p w:rsidR="00BF475B" w:rsidRDefault="00BF475B" w:rsidP="009735D6">
      <w:pPr>
        <w:pStyle w:val="wyq080---odsek"/>
        <w:rPr>
          <w:rFonts w:ascii="Times New Roman" w:hAnsi="Times New Roman" w:cs="Times New Roman"/>
          <w:sz w:val="24"/>
          <w:szCs w:val="24"/>
        </w:rPr>
      </w:pPr>
    </w:p>
    <w:p w:rsidR="00BF475B" w:rsidRDefault="00BF475B" w:rsidP="009735D6">
      <w:pPr>
        <w:pStyle w:val="wyq080---odsek"/>
        <w:rPr>
          <w:rFonts w:ascii="Times New Roman" w:hAnsi="Times New Roman" w:cs="Times New Roman"/>
          <w:sz w:val="24"/>
          <w:szCs w:val="24"/>
        </w:rPr>
      </w:pPr>
    </w:p>
    <w:p w:rsidR="009735D6" w:rsidRPr="00C87999"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Део I</w:t>
      </w:r>
    </w:p>
    <w:p w:rsidR="009735D6"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пројекта</w:t>
      </w:r>
    </w:p>
    <w:p w:rsidR="009735D6" w:rsidRPr="00C87999" w:rsidRDefault="009735D6"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490"/>
        <w:gridCol w:w="4506"/>
        <w:gridCol w:w="764"/>
        <w:gridCol w:w="2214"/>
        <w:gridCol w:w="1416"/>
      </w:tblGrid>
      <w:tr w:rsidR="009735D6" w:rsidRPr="00C87999" w:rsidTr="00107DBE">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Опасан или токсични отпад (укључујући </w:t>
            </w:r>
            <w:r w:rsidRPr="00C87999">
              <w:rPr>
                <w:rFonts w:ascii="Times New Roman" w:hAnsi="Times New Roman" w:cs="Times New Roman"/>
                <w:sz w:val="24"/>
                <w:szCs w:val="24"/>
              </w:rPr>
              <w:lastRenderedPageBreak/>
              <w:t>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Из извора електромагнетног зрачења </w:t>
            </w:r>
            <w:r w:rsidRPr="00C87999">
              <w:rPr>
                <w:rFonts w:ascii="Times New Roman" w:hAnsi="Times New Roman" w:cs="Times New Roman"/>
                <w:sz w:val="24"/>
                <w:szCs w:val="24"/>
              </w:rPr>
              <w:lastRenderedPageBreak/>
              <w:t>(подразумевају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Испостављањем повећаних захтева </w:t>
            </w:r>
            <w:r w:rsidRPr="00C87999">
              <w:rPr>
                <w:rFonts w:ascii="Times New Roman" w:hAnsi="Times New Roman" w:cs="Times New Roman"/>
                <w:sz w:val="24"/>
                <w:szCs w:val="24"/>
              </w:rPr>
              <w:lastRenderedPageBreak/>
              <w:t>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BF475B" w:rsidRDefault="00BF475B" w:rsidP="009735D6">
      <w:pPr>
        <w:pStyle w:val="normalprored"/>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p>
    <w:p w:rsidR="009735D6" w:rsidRDefault="009735D6" w:rsidP="009735D6">
      <w:pPr>
        <w:pStyle w:val="wyq080---odsek"/>
        <w:rPr>
          <w:rFonts w:ascii="Times New Roman" w:hAnsi="Times New Roman" w:cs="Times New Roman"/>
          <w:sz w:val="24"/>
          <w:szCs w:val="24"/>
        </w:rPr>
      </w:pPr>
      <w:bookmarkStart w:id="4" w:name="str_4"/>
      <w:bookmarkEnd w:id="4"/>
      <w:r w:rsidRPr="00C87999">
        <w:rPr>
          <w:rFonts w:ascii="Times New Roman" w:hAnsi="Times New Roman" w:cs="Times New Roman"/>
          <w:sz w:val="24"/>
          <w:szCs w:val="24"/>
        </w:rPr>
        <w:lastRenderedPageBreak/>
        <w:t>Део II</w:t>
      </w:r>
    </w:p>
    <w:p w:rsidR="0079122D" w:rsidRPr="0079122D" w:rsidRDefault="0079122D" w:rsidP="009735D6">
      <w:pPr>
        <w:pStyle w:val="wyq080---odsek"/>
        <w:rPr>
          <w:rFonts w:ascii="Times New Roman" w:hAnsi="Times New Roman" w:cs="Times New Roman"/>
          <w:sz w:val="24"/>
          <w:szCs w:val="24"/>
        </w:rPr>
      </w:pPr>
    </w:p>
    <w:p w:rsidR="009735D6" w:rsidRPr="00C87999"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79122D" w:rsidRP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8145"/>
      </w:tblGrid>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6) инфраструктурних капацитета на локацији - вода, канализација, </w:t>
            </w:r>
            <w:r w:rsidRPr="00C87999">
              <w:rPr>
                <w:rFonts w:ascii="Times New Roman" w:hAnsi="Times New Roman" w:cs="Times New Roman"/>
                <w:sz w:val="24"/>
                <w:szCs w:val="24"/>
              </w:rPr>
              <w:lastRenderedPageBreak/>
              <w:t>производња и пренос електричне енергије, телекомуникације, путеви одлагања отпада, железница;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 запосленост и квалитет запослења;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 економске услове;</w:t>
            </w:r>
          </w:p>
        </w:tc>
      </w:tr>
      <w:tr w:rsidR="009735D6" w:rsidRPr="00C87999" w:rsidTr="00107DBE">
        <w:trPr>
          <w:trHeight w:val="68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 друштвене институције и др.</w:t>
            </w:r>
          </w:p>
        </w:tc>
      </w:tr>
    </w:tbl>
    <w:p w:rsidR="009735D6" w:rsidRPr="00875036" w:rsidRDefault="009735D6" w:rsidP="009735D6">
      <w:pPr>
        <w:rPr>
          <w:rFonts w:cs="Arial"/>
          <w:sz w:val="20"/>
        </w:rPr>
      </w:pPr>
    </w:p>
    <w:p w:rsidR="00E06F75" w:rsidRPr="00570BC0" w:rsidRDefault="00E06F75">
      <w:pPr>
        <w:suppressAutoHyphens w:val="0"/>
        <w:rPr>
          <w:rFonts w:ascii="Times New Roman" w:hAnsi="Times New Roman" w:cs="Times New Roman"/>
          <w:color w:val="auto"/>
          <w:sz w:val="24"/>
          <w:szCs w:val="24"/>
          <w:lang w:eastAsia="en-US"/>
        </w:rPr>
      </w:pPr>
    </w:p>
    <w:sectPr w:rsidR="00E06F75" w:rsidRPr="00570BC0"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CA" w:rsidRDefault="004E27CA" w:rsidP="0041341B">
      <w:r>
        <w:separator/>
      </w:r>
    </w:p>
  </w:endnote>
  <w:endnote w:type="continuationSeparator" w:id="0">
    <w:p w:rsidR="004E27CA" w:rsidRDefault="004E27CA"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CA" w:rsidRDefault="004E27CA">
      <w:r>
        <w:separator/>
      </w:r>
    </w:p>
  </w:footnote>
  <w:footnote w:type="continuationSeparator" w:id="0">
    <w:p w:rsidR="004E27CA" w:rsidRDefault="004E2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5">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22"/>
  </w:num>
  <w:num w:numId="16">
    <w:abstractNumId w:val="11"/>
  </w:num>
  <w:num w:numId="17">
    <w:abstractNumId w:val="15"/>
  </w:num>
  <w:num w:numId="18">
    <w:abstractNumId w:val="12"/>
  </w:num>
  <w:num w:numId="19">
    <w:abstractNumId w:val="25"/>
  </w:num>
  <w:num w:numId="20">
    <w:abstractNumId w:val="13"/>
  </w:num>
  <w:num w:numId="21">
    <w:abstractNumId w:val="23"/>
  </w:num>
  <w:num w:numId="22">
    <w:abstractNumId w:val="16"/>
  </w:num>
  <w:num w:numId="23">
    <w:abstractNumId w:val="1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27"/>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41CE"/>
    <w:rsid w:val="000C7A57"/>
    <w:rsid w:val="000D0883"/>
    <w:rsid w:val="000D56EF"/>
    <w:rsid w:val="000D5966"/>
    <w:rsid w:val="000D6D54"/>
    <w:rsid w:val="000E0D39"/>
    <w:rsid w:val="000E2EC2"/>
    <w:rsid w:val="000E6445"/>
    <w:rsid w:val="000E68B7"/>
    <w:rsid w:val="00101ADA"/>
    <w:rsid w:val="00107DBE"/>
    <w:rsid w:val="001125FF"/>
    <w:rsid w:val="001128ED"/>
    <w:rsid w:val="00114DCC"/>
    <w:rsid w:val="00121C41"/>
    <w:rsid w:val="001222AE"/>
    <w:rsid w:val="00123AD7"/>
    <w:rsid w:val="001243AE"/>
    <w:rsid w:val="0012485C"/>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F45"/>
    <w:rsid w:val="00180B1B"/>
    <w:rsid w:val="00183BFF"/>
    <w:rsid w:val="00192085"/>
    <w:rsid w:val="001A0971"/>
    <w:rsid w:val="001A4FDA"/>
    <w:rsid w:val="001B16A0"/>
    <w:rsid w:val="001B73A4"/>
    <w:rsid w:val="001C2CD4"/>
    <w:rsid w:val="001C3011"/>
    <w:rsid w:val="001D3594"/>
    <w:rsid w:val="001D7BAB"/>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84F4D"/>
    <w:rsid w:val="00291D15"/>
    <w:rsid w:val="002946B1"/>
    <w:rsid w:val="00294D82"/>
    <w:rsid w:val="00295041"/>
    <w:rsid w:val="00295A15"/>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BAE"/>
    <w:rsid w:val="003574D3"/>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58A5"/>
    <w:rsid w:val="003D7F82"/>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4791"/>
    <w:rsid w:val="004432E8"/>
    <w:rsid w:val="00451DB3"/>
    <w:rsid w:val="004569A4"/>
    <w:rsid w:val="0046046D"/>
    <w:rsid w:val="004657BF"/>
    <w:rsid w:val="00470609"/>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73BB"/>
    <w:rsid w:val="00530B3A"/>
    <w:rsid w:val="005349B5"/>
    <w:rsid w:val="0053503B"/>
    <w:rsid w:val="005376EF"/>
    <w:rsid w:val="00541DF7"/>
    <w:rsid w:val="00555F8F"/>
    <w:rsid w:val="00557A08"/>
    <w:rsid w:val="00561D46"/>
    <w:rsid w:val="005666F3"/>
    <w:rsid w:val="005668AE"/>
    <w:rsid w:val="00570BC0"/>
    <w:rsid w:val="0057198B"/>
    <w:rsid w:val="00573719"/>
    <w:rsid w:val="00575A85"/>
    <w:rsid w:val="00583885"/>
    <w:rsid w:val="00591EA6"/>
    <w:rsid w:val="00593436"/>
    <w:rsid w:val="00593DEF"/>
    <w:rsid w:val="00596554"/>
    <w:rsid w:val="005970EE"/>
    <w:rsid w:val="005A36A4"/>
    <w:rsid w:val="005B432E"/>
    <w:rsid w:val="005C3986"/>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7F8"/>
    <w:rsid w:val="006650AE"/>
    <w:rsid w:val="00665BC3"/>
    <w:rsid w:val="0066727D"/>
    <w:rsid w:val="006673FB"/>
    <w:rsid w:val="00667CF1"/>
    <w:rsid w:val="0067112F"/>
    <w:rsid w:val="006743E9"/>
    <w:rsid w:val="00676229"/>
    <w:rsid w:val="00676F31"/>
    <w:rsid w:val="00680070"/>
    <w:rsid w:val="00680626"/>
    <w:rsid w:val="0068085B"/>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312A"/>
    <w:rsid w:val="006D4D06"/>
    <w:rsid w:val="006D7754"/>
    <w:rsid w:val="006E2F99"/>
    <w:rsid w:val="006E4CF4"/>
    <w:rsid w:val="006E6614"/>
    <w:rsid w:val="006F31A6"/>
    <w:rsid w:val="006F65DF"/>
    <w:rsid w:val="00707A33"/>
    <w:rsid w:val="007105FA"/>
    <w:rsid w:val="00712827"/>
    <w:rsid w:val="00720F96"/>
    <w:rsid w:val="00725D76"/>
    <w:rsid w:val="007338E4"/>
    <w:rsid w:val="00736545"/>
    <w:rsid w:val="00740C69"/>
    <w:rsid w:val="00746184"/>
    <w:rsid w:val="0075699F"/>
    <w:rsid w:val="007715A5"/>
    <w:rsid w:val="00790D09"/>
    <w:rsid w:val="0079122D"/>
    <w:rsid w:val="0079206B"/>
    <w:rsid w:val="007937EF"/>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96426"/>
    <w:rsid w:val="009A6863"/>
    <w:rsid w:val="009B58EE"/>
    <w:rsid w:val="009B64DB"/>
    <w:rsid w:val="009C2B08"/>
    <w:rsid w:val="009C418C"/>
    <w:rsid w:val="009C43CB"/>
    <w:rsid w:val="009C5EEA"/>
    <w:rsid w:val="009D1383"/>
    <w:rsid w:val="009D353E"/>
    <w:rsid w:val="009D4B5E"/>
    <w:rsid w:val="009E4CFE"/>
    <w:rsid w:val="009E4E64"/>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B5290"/>
    <w:rsid w:val="00BC01DF"/>
    <w:rsid w:val="00BC0601"/>
    <w:rsid w:val="00BC21E6"/>
    <w:rsid w:val="00BC4313"/>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24C00"/>
    <w:rsid w:val="00C25A35"/>
    <w:rsid w:val="00C30637"/>
    <w:rsid w:val="00C33AD4"/>
    <w:rsid w:val="00C35356"/>
    <w:rsid w:val="00C3747F"/>
    <w:rsid w:val="00C500AB"/>
    <w:rsid w:val="00C51C40"/>
    <w:rsid w:val="00C627F9"/>
    <w:rsid w:val="00C70011"/>
    <w:rsid w:val="00C81CF2"/>
    <w:rsid w:val="00C82E71"/>
    <w:rsid w:val="00C84485"/>
    <w:rsid w:val="00C84B0A"/>
    <w:rsid w:val="00C858AF"/>
    <w:rsid w:val="00C93E9E"/>
    <w:rsid w:val="00C96D76"/>
    <w:rsid w:val="00CB2C57"/>
    <w:rsid w:val="00CB58A5"/>
    <w:rsid w:val="00CD14E1"/>
    <w:rsid w:val="00CD68D1"/>
    <w:rsid w:val="00CE0ABF"/>
    <w:rsid w:val="00CE1759"/>
    <w:rsid w:val="00CE1A45"/>
    <w:rsid w:val="00CE438E"/>
    <w:rsid w:val="00CE4AFC"/>
    <w:rsid w:val="00CE7DE6"/>
    <w:rsid w:val="00CF28F3"/>
    <w:rsid w:val="00D02043"/>
    <w:rsid w:val="00D024A6"/>
    <w:rsid w:val="00D0624C"/>
    <w:rsid w:val="00D11CDE"/>
    <w:rsid w:val="00D1554A"/>
    <w:rsid w:val="00D20307"/>
    <w:rsid w:val="00D26939"/>
    <w:rsid w:val="00D362C4"/>
    <w:rsid w:val="00D373D5"/>
    <w:rsid w:val="00D37911"/>
    <w:rsid w:val="00D47669"/>
    <w:rsid w:val="00D47E4D"/>
    <w:rsid w:val="00D55D48"/>
    <w:rsid w:val="00D60DAC"/>
    <w:rsid w:val="00D660F9"/>
    <w:rsid w:val="00D72DD9"/>
    <w:rsid w:val="00D739FB"/>
    <w:rsid w:val="00D7486A"/>
    <w:rsid w:val="00D977E9"/>
    <w:rsid w:val="00DA1194"/>
    <w:rsid w:val="00DA19B5"/>
    <w:rsid w:val="00DA53B2"/>
    <w:rsid w:val="00DB02A5"/>
    <w:rsid w:val="00DB14FA"/>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6895"/>
    <w:rsid w:val="00E428DF"/>
    <w:rsid w:val="00E460D0"/>
    <w:rsid w:val="00E5064D"/>
    <w:rsid w:val="00E65712"/>
    <w:rsid w:val="00E7005D"/>
    <w:rsid w:val="00E71447"/>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3418"/>
    <w:rsid w:val="00F1517C"/>
    <w:rsid w:val="00F21A8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2B35-CADE-46A4-B934-562FD892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52</cp:revision>
  <cp:lastPrinted>2018-01-30T10:14:00Z</cp:lastPrinted>
  <dcterms:created xsi:type="dcterms:W3CDTF">2017-06-25T20:33:00Z</dcterms:created>
  <dcterms:modified xsi:type="dcterms:W3CDTF">2024-10-08T11:45:00Z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