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9C6F63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9C6F63" w:rsidRPr="002D07A6" w:rsidRDefault="009C6F63" w:rsidP="002D07A6">
            <w:pPr>
              <w:pStyle w:val="Header"/>
              <w:jc w:val="cent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9C6F63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</w:tblGrid>
            <w:tr w:rsidR="002D07A6" w:rsidRPr="00F40002" w:rsidTr="006A60F2">
              <w:tc>
                <w:tcPr>
                  <w:tcW w:w="1384" w:type="dxa"/>
                  <w:shd w:val="clear" w:color="auto" w:fill="auto"/>
                </w:tcPr>
                <w:p w:rsidR="002D07A6" w:rsidRPr="00F40002" w:rsidRDefault="002D07A6" w:rsidP="006A60F2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</w:tbl>
          <w:p w:rsidR="002D07A6" w:rsidRPr="00570BC0" w:rsidRDefault="002D07A6" w:rsidP="002D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814162997" r:id="rId9"/>
              </w:objec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2D07A6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2D07A6" w:rsidRPr="00B61BDE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7A6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B1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9C6F63" w:rsidRPr="00F40002" w:rsidRDefault="009C6F63" w:rsidP="001D5E95">
            <w:pPr>
              <w:rPr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Pr="00F40002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  <w:p w:rsidR="006A5240" w:rsidRPr="00F40002" w:rsidRDefault="006A5240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9C6F63" w:rsidRDefault="006E3490" w:rsidP="00FA315F">
      <w:pPr>
        <w:spacing w:line="276" w:lineRule="auto"/>
        <w:rPr>
          <w:rFonts w:cs="Arial"/>
          <w:b/>
          <w:sz w:val="20"/>
        </w:rPr>
      </w:pPr>
    </w:p>
    <w:p w:rsidR="003777A2" w:rsidRPr="00737639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9">
        <w:rPr>
          <w:rFonts w:ascii="Times New Roman" w:hAnsi="Times New Roman" w:cs="Times New Roman"/>
          <w:b/>
          <w:sz w:val="32"/>
          <w:szCs w:val="32"/>
        </w:rPr>
        <w:t xml:space="preserve">ЗАХТЕВ ЗА </w:t>
      </w:r>
      <w:r w:rsidR="00262F10" w:rsidRPr="00737639">
        <w:rPr>
          <w:rFonts w:ascii="Times New Roman" w:hAnsi="Times New Roman" w:cs="Times New Roman"/>
          <w:b/>
          <w:sz w:val="32"/>
          <w:szCs w:val="32"/>
        </w:rPr>
        <w:t>ПРОДУЖЕЊЕ РОКА ВАЖНОСТИ</w:t>
      </w:r>
      <w:r w:rsidRPr="007376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3490" w:rsidRPr="00737639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9">
        <w:rPr>
          <w:rFonts w:ascii="Times New Roman" w:hAnsi="Times New Roman" w:cs="Times New Roman"/>
          <w:b/>
          <w:sz w:val="32"/>
          <w:szCs w:val="32"/>
        </w:rPr>
        <w:t>ИНТЕГРИСАНЕ ДОЗВОЛЕ</w:t>
      </w:r>
    </w:p>
    <w:p w:rsidR="003777A2" w:rsidRDefault="003777A2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40" w:rsidRPr="003777A2" w:rsidRDefault="006A5240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DD9" w:rsidRPr="00242DD9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члана</w:t>
      </w:r>
      <w:r w:rsidR="006E3490" w:rsidRPr="00443E29">
        <w:rPr>
          <w:rFonts w:ascii="Times New Roman" w:hAnsi="Times New Roman" w:cs="Times New Roman"/>
          <w:sz w:val="24"/>
          <w:szCs w:val="24"/>
        </w:rPr>
        <w:t xml:space="preserve"> 8. </w:t>
      </w:r>
      <w:r w:rsidR="00262F10" w:rsidRPr="00443E29">
        <w:rPr>
          <w:rFonts w:ascii="Times New Roman" w:hAnsi="Times New Roman" w:cs="Times New Roman"/>
          <w:sz w:val="24"/>
          <w:szCs w:val="24"/>
        </w:rPr>
        <w:t xml:space="preserve">и 21.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Закона о интегрисаном спречавању и контроли загађивања животне средине (</w:t>
      </w:r>
      <w:r w:rsidR="00C2383B" w:rsidRPr="00443E29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="00C2383B" w:rsidRPr="00242DD9">
        <w:rPr>
          <w:rFonts w:ascii="Times New Roman" w:hAnsi="Times New Roman" w:cs="Times New Roman"/>
          <w:sz w:val="24"/>
          <w:szCs w:val="24"/>
        </w:rPr>
        <w:t>гласник РС“ број</w:t>
      </w:r>
      <w:r w:rsidR="006E3490" w:rsidRPr="00242DD9">
        <w:rPr>
          <w:rFonts w:ascii="Times New Roman" w:hAnsi="Times New Roman" w:cs="Times New Roman"/>
          <w:sz w:val="24"/>
          <w:szCs w:val="24"/>
        </w:rPr>
        <w:t xml:space="preserve"> 135/</w:t>
      </w:r>
      <w:r w:rsidR="00320ADE" w:rsidRPr="00242DD9">
        <w:rPr>
          <w:rFonts w:ascii="Times New Roman" w:hAnsi="Times New Roman" w:cs="Times New Roman"/>
          <w:sz w:val="24"/>
          <w:szCs w:val="24"/>
        </w:rPr>
        <w:t>20</w:t>
      </w:r>
      <w:r w:rsidR="00242DD9" w:rsidRPr="00242DD9">
        <w:rPr>
          <w:rFonts w:ascii="Times New Roman" w:hAnsi="Times New Roman" w:cs="Times New Roman"/>
          <w:sz w:val="24"/>
          <w:szCs w:val="24"/>
        </w:rPr>
        <w:t xml:space="preserve">04, </w:t>
      </w:r>
      <w:r w:rsidR="006E3490" w:rsidRPr="00242DD9">
        <w:rPr>
          <w:rFonts w:ascii="Times New Roman" w:hAnsi="Times New Roman" w:cs="Times New Roman"/>
          <w:sz w:val="24"/>
          <w:szCs w:val="24"/>
        </w:rPr>
        <w:t>25/</w:t>
      </w:r>
      <w:r w:rsidR="00320ADE" w:rsidRPr="00242DD9">
        <w:rPr>
          <w:rFonts w:ascii="Times New Roman" w:hAnsi="Times New Roman" w:cs="Times New Roman"/>
          <w:sz w:val="24"/>
          <w:szCs w:val="24"/>
        </w:rPr>
        <w:t>20</w:t>
      </w:r>
      <w:r w:rsidR="006E3490" w:rsidRPr="00242DD9">
        <w:rPr>
          <w:rFonts w:ascii="Times New Roman" w:hAnsi="Times New Roman" w:cs="Times New Roman"/>
          <w:sz w:val="24"/>
          <w:szCs w:val="24"/>
        </w:rPr>
        <w:t>15</w:t>
      </w:r>
      <w:r w:rsidR="00242DD9" w:rsidRPr="00242DD9">
        <w:rPr>
          <w:rFonts w:ascii="Times New Roman" w:hAnsi="Times New Roman" w:cs="Times New Roman"/>
          <w:sz w:val="24"/>
          <w:szCs w:val="24"/>
        </w:rPr>
        <w:t xml:space="preserve"> </w:t>
      </w:r>
      <w:r w:rsidR="00242DD9" w:rsidRPr="00242DD9">
        <w:rPr>
          <w:rFonts w:ascii="Times New Roman" w:hAnsi="Times New Roman" w:cs="Times New Roman"/>
          <w:sz w:val="24"/>
          <w:szCs w:val="24"/>
          <w:lang w:val="sr-Cyrl-RS"/>
        </w:rPr>
        <w:t>и 109/2021</w:t>
      </w:r>
      <w:r w:rsidR="006E3490" w:rsidRPr="00242DD9">
        <w:rPr>
          <w:rFonts w:ascii="Times New Roman" w:hAnsi="Times New Roman" w:cs="Times New Roman"/>
          <w:sz w:val="24"/>
          <w:szCs w:val="24"/>
        </w:rPr>
        <w:t>) и</w:t>
      </w:r>
      <w:r w:rsidR="006E3490" w:rsidRPr="0024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90" w:rsidRPr="00242DD9"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6E3490" w:rsidRPr="00386761">
        <w:rPr>
          <w:rFonts w:ascii="Times New Roman" w:hAnsi="Times New Roman" w:cs="Times New Roman"/>
          <w:sz w:val="24"/>
          <w:szCs w:val="24"/>
        </w:rPr>
        <w:t xml:space="preserve"> о садржини</w:t>
      </w:r>
      <w:r w:rsidR="006E3490" w:rsidRPr="00443E29">
        <w:rPr>
          <w:rFonts w:ascii="Times New Roman" w:hAnsi="Times New Roman" w:cs="Times New Roman"/>
          <w:sz w:val="24"/>
          <w:szCs w:val="24"/>
        </w:rPr>
        <w:t>, изгледу и начину попуњавања захтева за издавање интегрисане дозволе (</w:t>
      </w:r>
      <w:r w:rsidR="00C2383B" w:rsidRPr="00443E29">
        <w:rPr>
          <w:rFonts w:ascii="Times New Roman" w:hAnsi="Times New Roman" w:cs="Times New Roman"/>
          <w:sz w:val="24"/>
          <w:szCs w:val="24"/>
        </w:rPr>
        <w:t>„Службени гласник РС</w:t>
      </w:r>
      <w:r w:rsidR="00C2383B" w:rsidRPr="00242DD9">
        <w:rPr>
          <w:rFonts w:ascii="Times New Roman" w:hAnsi="Times New Roman" w:cs="Times New Roman"/>
          <w:sz w:val="24"/>
          <w:szCs w:val="24"/>
        </w:rPr>
        <w:t>“ број</w:t>
      </w:r>
      <w:r w:rsidRPr="00242DD9">
        <w:rPr>
          <w:rFonts w:ascii="Times New Roman" w:hAnsi="Times New Roman" w:cs="Times New Roman"/>
          <w:sz w:val="24"/>
          <w:szCs w:val="24"/>
        </w:rPr>
        <w:t xml:space="preserve"> 30/06</w:t>
      </w:r>
      <w:r w:rsidR="00242DD9" w:rsidRPr="00242DD9">
        <w:rPr>
          <w:rFonts w:ascii="Times New Roman" w:hAnsi="Times New Roman" w:cs="Times New Roman"/>
          <w:sz w:val="24"/>
          <w:szCs w:val="24"/>
          <w:lang w:val="sr-Cyrl-RS"/>
        </w:rPr>
        <w:t>, 32/16, 44/18-др. закон и 4/24</w:t>
      </w:r>
      <w:r w:rsidRPr="00242DD9">
        <w:rPr>
          <w:rFonts w:ascii="Times New Roman" w:hAnsi="Times New Roman" w:cs="Times New Roman"/>
          <w:sz w:val="24"/>
          <w:szCs w:val="24"/>
        </w:rPr>
        <w:t>) подносим</w:t>
      </w:r>
      <w:r>
        <w:rPr>
          <w:rFonts w:ascii="Times New Roman" w:hAnsi="Times New Roman" w:cs="Times New Roman"/>
          <w:sz w:val="24"/>
          <w:szCs w:val="24"/>
        </w:rPr>
        <w:t xml:space="preserve"> захтев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 издав</w:t>
      </w:r>
      <w:r w:rsidR="00C2383B" w:rsidRPr="00443E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Pr="00443E29">
        <w:rPr>
          <w:rFonts w:ascii="Times New Roman" w:hAnsi="Times New Roman" w:cs="Times New Roman"/>
          <w:sz w:val="24"/>
          <w:szCs w:val="24"/>
        </w:rPr>
        <w:t>Постројења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и </w:t>
      </w:r>
      <w:r w:rsidR="006E3490" w:rsidRPr="00443E29">
        <w:rPr>
          <w:rFonts w:ascii="Times New Roman" w:hAnsi="Times New Roman" w:cs="Times New Roman"/>
          <w:sz w:val="24"/>
          <w:szCs w:val="24"/>
        </w:rPr>
        <w:t>обављање активности _________________________</w:t>
      </w:r>
      <w:r w:rsidR="00262F10" w:rsidRPr="00443E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2F10" w:rsidRPr="00443E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DD9">
        <w:rPr>
          <w:rFonts w:ascii="Times New Roman" w:hAnsi="Times New Roman" w:cs="Times New Roman"/>
          <w:sz w:val="24"/>
          <w:szCs w:val="24"/>
        </w:rPr>
        <w:t xml:space="preserve">на </w:t>
      </w:r>
      <w:r w:rsidR="00242DD9" w:rsidRPr="00443E29">
        <w:rPr>
          <w:rFonts w:ascii="Times New Roman" w:hAnsi="Times New Roman" w:cs="Times New Roman"/>
          <w:sz w:val="24"/>
          <w:szCs w:val="24"/>
        </w:rPr>
        <w:t>кп. бр.____</w:t>
      </w:r>
      <w:r w:rsidR="00242DD9">
        <w:rPr>
          <w:rFonts w:ascii="Times New Roman" w:hAnsi="Times New Roman" w:cs="Times New Roman"/>
          <w:sz w:val="24"/>
          <w:szCs w:val="24"/>
        </w:rPr>
        <w:t>___________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6E3490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________________</w:t>
      </w:r>
      <w:r w:rsidR="00DE78BA">
        <w:rPr>
          <w:rFonts w:ascii="Times New Roman" w:hAnsi="Times New Roman" w:cs="Times New Roman"/>
          <w:sz w:val="24"/>
          <w:szCs w:val="24"/>
        </w:rPr>
        <w:t>___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240" w:rsidRPr="00DE78BA" w:rsidRDefault="006A5240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F63" w:rsidRDefault="009C6F63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43E29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E78BA" w:rsidRPr="00DE78BA" w:rsidRDefault="00DE78BA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777A2" w:rsidRPr="00443E29" w:rsidRDefault="003777A2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443E29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5240" w:rsidRDefault="006A5240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78BA" w:rsidRPr="006A5240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A5240">
        <w:rPr>
          <w:rFonts w:ascii="Times New Roman" w:hAnsi="Times New Roman" w:cs="Times New Roman"/>
          <w:sz w:val="22"/>
          <w:szCs w:val="22"/>
        </w:rPr>
        <w:t xml:space="preserve">Упознат/а сам са одредбом члана 103. став 3. Закона о општем управном поступку („Службени гласник РС“, </w:t>
      </w:r>
      <w:r w:rsidRPr="006A5240">
        <w:rPr>
          <w:rFonts w:ascii="Times New Roman" w:hAnsi="Times New Roman" w:cs="Times New Roman"/>
          <w:color w:val="auto"/>
          <w:sz w:val="22"/>
          <w:szCs w:val="22"/>
        </w:rPr>
        <w:t>бр. 18/2016</w:t>
      </w:r>
      <w:r w:rsidR="005733C3" w:rsidRPr="006A5240">
        <w:rPr>
          <w:rFonts w:ascii="Times New Roman" w:hAnsi="Times New Roman" w:cs="Times New Roman"/>
          <w:color w:val="auto"/>
          <w:sz w:val="22"/>
          <w:szCs w:val="22"/>
        </w:rPr>
        <w:t xml:space="preserve"> и 95/2018-аутентично тумачење</w:t>
      </w:r>
      <w:r w:rsidR="00242DD9" w:rsidRPr="006A5240">
        <w:rPr>
          <w:rFonts w:ascii="Times New Roman" w:hAnsi="Times New Roman" w:cs="Times New Roman"/>
          <w:color w:val="auto"/>
          <w:sz w:val="22"/>
          <w:szCs w:val="22"/>
          <w:lang w:val="sr-Cyrl-RS"/>
        </w:rPr>
        <w:t xml:space="preserve"> и 2/2023-одлука УС</w:t>
      </w:r>
      <w:r w:rsidRPr="006A5240">
        <w:rPr>
          <w:rFonts w:ascii="Times New Roman" w:hAnsi="Times New Roman" w:cs="Times New Roman"/>
          <w:color w:val="auto"/>
          <w:sz w:val="22"/>
          <w:szCs w:val="22"/>
        </w:rPr>
        <w:t>), којом је прописано</w:t>
      </w:r>
      <w:r w:rsidRPr="006A5240">
        <w:rPr>
          <w:rFonts w:ascii="Times New Roman" w:hAnsi="Times New Roman" w:cs="Times New Roman"/>
          <w:sz w:val="22"/>
          <w:szCs w:val="22"/>
        </w:rPr>
        <w:t xml:space="preserve"> да у поступку који се покреће по захтеву странке орган може</w:t>
      </w:r>
      <w:r w:rsidRPr="006A524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A5240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5240" w:rsidRPr="00DE78BA" w:rsidRDefault="006A5240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Pr="00DE78BA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Pr="003D6BC1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D6BC1">
        <w:rPr>
          <w:rFonts w:ascii="Times New Roman" w:hAnsi="Times New Roman"/>
          <w:b/>
          <w:sz w:val="24"/>
          <w:szCs w:val="24"/>
        </w:rPr>
        <w:lastRenderedPageBreak/>
        <w:t>Таксе/накнаде:</w:t>
      </w:r>
    </w:p>
    <w:p w:rsidR="00C84290" w:rsidRPr="003D6BC1" w:rsidRDefault="009A4D48" w:rsidP="00C8429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D6BC1">
        <w:rPr>
          <w:rStyle w:val="Bodytext6"/>
          <w:sz w:val="24"/>
          <w:szCs w:val="24"/>
        </w:rPr>
        <w:t xml:space="preserve">Републичка административна такса у износу </w:t>
      </w:r>
      <w:r w:rsidR="000A6E6F" w:rsidRPr="003D6BC1">
        <w:rPr>
          <w:rStyle w:val="Bodytext6"/>
          <w:sz w:val="24"/>
          <w:szCs w:val="24"/>
        </w:rPr>
        <w:t xml:space="preserve">од </w:t>
      </w:r>
      <w:r w:rsidR="00FD0092">
        <w:rPr>
          <w:rStyle w:val="Bodytext6"/>
          <w:b/>
          <w:sz w:val="24"/>
          <w:szCs w:val="24"/>
        </w:rPr>
        <w:t>82.08</w:t>
      </w:r>
      <w:bookmarkStart w:id="0" w:name="_GoBack"/>
      <w:bookmarkEnd w:id="0"/>
      <w:r w:rsidRPr="00EA5BD5">
        <w:rPr>
          <w:rStyle w:val="Bodytext6"/>
          <w:b/>
          <w:sz w:val="24"/>
          <w:szCs w:val="24"/>
        </w:rPr>
        <w:t>0,00</w:t>
      </w:r>
      <w:r w:rsidR="00EA5BD5">
        <w:rPr>
          <w:rStyle w:val="Bodytext6"/>
          <w:sz w:val="24"/>
          <w:szCs w:val="24"/>
        </w:rPr>
        <w:t xml:space="preserve"> динара</w:t>
      </w:r>
      <w:r w:rsidR="00EA5BD5">
        <w:rPr>
          <w:rStyle w:val="Bodytext6"/>
          <w:sz w:val="24"/>
          <w:szCs w:val="24"/>
          <w:lang w:val="sr-Latn-RS"/>
        </w:rPr>
        <w:t xml:space="preserve"> </w:t>
      </w:r>
      <w:r w:rsidR="00EA5BD5">
        <w:rPr>
          <w:rStyle w:val="Bodytext6"/>
          <w:sz w:val="24"/>
          <w:szCs w:val="24"/>
          <w:lang w:val="sr-Cyrl-RS"/>
        </w:rPr>
        <w:t>за захтев за продужење важности интегрисане дозволе</w:t>
      </w:r>
      <w:r w:rsidR="00EA5BD5">
        <w:rPr>
          <w:rStyle w:val="Bodytext6"/>
          <w:sz w:val="24"/>
          <w:szCs w:val="24"/>
        </w:rPr>
        <w:t xml:space="preserve"> (</w:t>
      </w:r>
      <w:r w:rsidRPr="003D6BC1">
        <w:rPr>
          <w:rStyle w:val="Bodytext6"/>
          <w:sz w:val="24"/>
          <w:szCs w:val="24"/>
        </w:rPr>
        <w:t>Тар. бр. 19</w:t>
      </w:r>
      <w:r w:rsidR="003D6BC1" w:rsidRPr="003D6BC1">
        <w:rPr>
          <w:rStyle w:val="Bodytext6"/>
          <w:sz w:val="24"/>
          <w:szCs w:val="24"/>
        </w:rPr>
        <w:t>4</w:t>
      </w:r>
      <w:r w:rsidRPr="003D6BC1">
        <w:rPr>
          <w:rStyle w:val="Bodytext6"/>
          <w:sz w:val="24"/>
          <w:szCs w:val="24"/>
        </w:rPr>
        <w:t xml:space="preserve">) Тарифе републичких административних такси и накнада се уплаћује на текући рачун број </w:t>
      </w:r>
      <w:r w:rsidRPr="003D6BC1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>, корисник Буџет Републике Србије,</w:t>
      </w:r>
      <w:r w:rsidR="00A71A54" w:rsidRPr="00A71A54">
        <w:rPr>
          <w:rFonts w:ascii="Times New Roman" w:hAnsi="Times New Roman" w:cs="Times New Roman"/>
          <w:szCs w:val="22"/>
          <w:lang w:eastAsia="en-US"/>
        </w:rPr>
        <w:t xml:space="preserve"> </w:t>
      </w:r>
      <w:r w:rsidR="00A71A54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A71A54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CD32B0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="00DE78BA" w:rsidRPr="003D6BC1">
        <w:rPr>
          <w:rFonts w:ascii="Times New Roman" w:hAnsi="Times New Roman" w:cs="Times New Roman"/>
          <w:sz w:val="24"/>
          <w:szCs w:val="24"/>
          <w:lang w:eastAsia="en-US"/>
        </w:rPr>
        <w:t>, сврха дознаке „Р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 xml:space="preserve">епубличка административна такса“. </w:t>
      </w:r>
      <w:r w:rsidRPr="003D6BC1">
        <w:rPr>
          <w:rStyle w:val="Bodytext6"/>
          <w:sz w:val="24"/>
          <w:szCs w:val="24"/>
        </w:rPr>
        <w:t>Таксене тарифе из Закона о републичким административним таксама</w:t>
      </w:r>
      <w:r w:rsidR="00DE78BA" w:rsidRPr="003D6BC1">
        <w:rPr>
          <w:rStyle w:val="Bodytext6"/>
          <w:sz w:val="24"/>
          <w:szCs w:val="24"/>
        </w:rPr>
        <w:t>.</w:t>
      </w:r>
    </w:p>
    <w:p w:rsidR="009670E5" w:rsidRPr="003D6BC1" w:rsidRDefault="009670E5" w:rsidP="009670E5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1C5346" w:rsidRDefault="009A4D48" w:rsidP="009A4D48">
      <w:pPr>
        <w:suppressAutoHyphens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D48" w:rsidRPr="00DE78BA" w:rsidRDefault="009A4D48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3490" w:rsidRPr="00443E29" w:rsidRDefault="006E3490" w:rsidP="009C6F63">
      <w:pPr>
        <w:spacing w:line="276" w:lineRule="auto"/>
        <w:jc w:val="right"/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43E29" w:rsidTr="00046493">
        <w:trPr>
          <w:trHeight w:val="976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6F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_________________________ године</w:t>
            </w: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88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A36F6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43E29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</w:t>
            </w:r>
          </w:p>
          <w:p w:rsidR="006E3490" w:rsidRPr="00443E29" w:rsidRDefault="006E3490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име правног лица/предузетника</w:t>
            </w:r>
          </w:p>
          <w:p w:rsidR="006E3490" w:rsidRPr="00443E29" w:rsidRDefault="006E3490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подносиоца захтева-оператера</w:t>
            </w:r>
          </w:p>
        </w:tc>
      </w:tr>
      <w:tr w:rsidR="006E3490" w:rsidRPr="00443E29" w:rsidTr="00046493">
        <w:trPr>
          <w:trHeight w:val="337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2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43E29" w:rsidTr="00046493">
        <w:trPr>
          <w:trHeight w:val="37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99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43E29" w:rsidTr="00046493">
        <w:trPr>
          <w:trHeight w:val="563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1A36F6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9C6F63">
        <w:trPr>
          <w:trHeight w:val="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C2383B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</w:tbl>
    <w:p w:rsidR="006E3490" w:rsidRPr="00443E29" w:rsidRDefault="006E3490" w:rsidP="00FA3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5240" w:rsidRPr="00B902F2" w:rsidRDefault="006A5240" w:rsidP="006A5240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484020">
        <w:rPr>
          <w:rFonts w:ascii="Times New Roman" w:hAnsi="Times New Roman" w:cs="Times New Roman"/>
          <w:sz w:val="24"/>
          <w:szCs w:val="24"/>
        </w:rPr>
        <w:t xml:space="preserve"> Уз овај захтев обавезно попунити прописане обрасце захтева и прописан  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Pr="00DE78BA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F49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1A2687" w:rsidRDefault="001A2687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 ______________________________________________________________________________</w:t>
      </w: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________________________________________________ ,</w:t>
      </w: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______________________, У _____________________________________ 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1A2687" w:rsidRPr="005F4963" w:rsidRDefault="001A2687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интегрисане дозволе (члан 7. Закона о интегрисаном спречавању и контроли загађивања животне средине)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5169"/>
      </w:tblGrid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интегрисана дозвола и које се одвијају на локацији оператера (нпр. 1.1. термо енергетска постројења са топлотним улазом већим од 50 МW)</w:t>
      </w: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503"/>
      </w:tblGrid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1.2. Разлози за подношење захтева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112"/>
      </w:tblGrid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112"/>
      </w:tblGrid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постројења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4. Подаци о планској и техничкој документацији за постројење (дозволе, одобрења, сагласности)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1882"/>
      </w:tblGrid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5055"/>
      </w:tblGrid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5. Особље и инвестициони трошкови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5F4963" w:rsidRPr="005F4963" w:rsidRDefault="005F4963" w:rsidP="005F4963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Локација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709"/>
      </w:tblGrid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Навести који документ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3. Опис процеса и примењених најбољих доступних техника</w:t>
      </w:r>
    </w:p>
    <w:p w:rsidR="00F44113" w:rsidRP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4110"/>
        <w:gridCol w:w="3119"/>
      </w:tblGrid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Емисије у ваздух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5F4963" w:rsidRPr="005F4963" w:rsidTr="00255D24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5F4963" w:rsidRPr="005F4963" w:rsidTr="00255D24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5F4963" w:rsidRPr="005F4963" w:rsidTr="00255D24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5F4963" w:rsidRPr="005F4963" w:rsidTr="00255D24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резервоара, клапни и сл.).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5F4963" w:rsidRPr="00F44113" w:rsidRDefault="005F496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6.1.1. Третман отпадних вода</w:t>
      </w:r>
    </w:p>
    <w:p w:rsidR="00F4411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p w:rsidR="00F44113" w:rsidRPr="005F496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5F4963" w:rsidRPr="005F4963" w:rsidTr="00255D24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5F4963" w:rsidRPr="005F4963" w:rsidTr="00255D24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2694"/>
        <w:gridCol w:w="5953"/>
      </w:tblGrid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7.3. Испитивање квалитета земљишта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p w:rsidR="00F4411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7.4.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складиштења за сваку врсту отпада.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5F4963" w:rsidRPr="00F4411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контроле, мерења и класификацију отпада који настаје у објектима и током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документовања података и извештавања.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9. Бука и вибрације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ризике од значајних удеса и мере за спречавања удеса за предметно постројење.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11.2. Дефекти цурења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(планиран прекид рада због потреба ремонта и у другим случајевима).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5F4963" w:rsidRDefault="005F496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F44113" w:rsidRPr="00F44113" w:rsidRDefault="00F4411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C3F96" w:rsidSect="006A5240">
      <w:pgSz w:w="11920" w:h="16840"/>
      <w:pgMar w:top="116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55" w:rsidRDefault="003C2455" w:rsidP="001E5B3B">
      <w:r>
        <w:separator/>
      </w:r>
    </w:p>
  </w:endnote>
  <w:endnote w:type="continuationSeparator" w:id="0">
    <w:p w:rsidR="003C2455" w:rsidRDefault="003C2455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55" w:rsidRDefault="003C2455" w:rsidP="001E5B3B">
      <w:r>
        <w:separator/>
      </w:r>
    </w:p>
  </w:footnote>
  <w:footnote w:type="continuationSeparator" w:id="0">
    <w:p w:rsidR="003C2455" w:rsidRDefault="003C2455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30"/>
  </w:num>
  <w:num w:numId="5">
    <w:abstractNumId w:val="42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37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4"/>
  </w:num>
  <w:num w:numId="17">
    <w:abstractNumId w:val="16"/>
  </w:num>
  <w:num w:numId="18">
    <w:abstractNumId w:val="39"/>
  </w:num>
  <w:num w:numId="19">
    <w:abstractNumId w:val="38"/>
  </w:num>
  <w:num w:numId="20">
    <w:abstractNumId w:val="41"/>
  </w:num>
  <w:num w:numId="21">
    <w:abstractNumId w:val="35"/>
  </w:num>
  <w:num w:numId="22">
    <w:abstractNumId w:val="32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5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43"/>
  </w:num>
  <w:num w:numId="43">
    <w:abstractNumId w:val="2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10A1"/>
    <w:rsid w:val="00013D52"/>
    <w:rsid w:val="00015CC2"/>
    <w:rsid w:val="00022511"/>
    <w:rsid w:val="00023C1F"/>
    <w:rsid w:val="00027818"/>
    <w:rsid w:val="00035335"/>
    <w:rsid w:val="00036BA5"/>
    <w:rsid w:val="00036DB4"/>
    <w:rsid w:val="00042E56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6E3"/>
    <w:rsid w:val="00087D2B"/>
    <w:rsid w:val="0009084B"/>
    <w:rsid w:val="00091BA1"/>
    <w:rsid w:val="00092572"/>
    <w:rsid w:val="00097090"/>
    <w:rsid w:val="000A1FFE"/>
    <w:rsid w:val="000A44C3"/>
    <w:rsid w:val="000A468B"/>
    <w:rsid w:val="000A6E6F"/>
    <w:rsid w:val="000B45E4"/>
    <w:rsid w:val="000B700A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530A"/>
    <w:rsid w:val="0015601E"/>
    <w:rsid w:val="0016481D"/>
    <w:rsid w:val="001657CF"/>
    <w:rsid w:val="00173AA0"/>
    <w:rsid w:val="00173D72"/>
    <w:rsid w:val="00182ED8"/>
    <w:rsid w:val="00183BE3"/>
    <w:rsid w:val="00191E0C"/>
    <w:rsid w:val="001A2687"/>
    <w:rsid w:val="001A277B"/>
    <w:rsid w:val="001A36F6"/>
    <w:rsid w:val="001C5346"/>
    <w:rsid w:val="001C61E4"/>
    <w:rsid w:val="001C7072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2DD9"/>
    <w:rsid w:val="00244887"/>
    <w:rsid w:val="0024585A"/>
    <w:rsid w:val="00246337"/>
    <w:rsid w:val="002475D1"/>
    <w:rsid w:val="00252051"/>
    <w:rsid w:val="0025437E"/>
    <w:rsid w:val="00255ACB"/>
    <w:rsid w:val="00262982"/>
    <w:rsid w:val="00262F10"/>
    <w:rsid w:val="002657F2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07A6"/>
    <w:rsid w:val="002D291E"/>
    <w:rsid w:val="002D5B11"/>
    <w:rsid w:val="002F366A"/>
    <w:rsid w:val="00302858"/>
    <w:rsid w:val="00320ADE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777A2"/>
    <w:rsid w:val="003830C7"/>
    <w:rsid w:val="003844EE"/>
    <w:rsid w:val="00385E30"/>
    <w:rsid w:val="00386761"/>
    <w:rsid w:val="00387F33"/>
    <w:rsid w:val="00396271"/>
    <w:rsid w:val="003A006A"/>
    <w:rsid w:val="003A6004"/>
    <w:rsid w:val="003C08D4"/>
    <w:rsid w:val="003C2182"/>
    <w:rsid w:val="003C2455"/>
    <w:rsid w:val="003C416D"/>
    <w:rsid w:val="003D5400"/>
    <w:rsid w:val="003D6BC1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3E29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66BA"/>
    <w:rsid w:val="00537A38"/>
    <w:rsid w:val="00556792"/>
    <w:rsid w:val="0056448A"/>
    <w:rsid w:val="00566DF2"/>
    <w:rsid w:val="00566EFD"/>
    <w:rsid w:val="0057038E"/>
    <w:rsid w:val="00571206"/>
    <w:rsid w:val="005733C3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65E8"/>
    <w:rsid w:val="005B772E"/>
    <w:rsid w:val="005C7C19"/>
    <w:rsid w:val="005D05A5"/>
    <w:rsid w:val="005D48F4"/>
    <w:rsid w:val="005D6A72"/>
    <w:rsid w:val="005E37D4"/>
    <w:rsid w:val="005F13DE"/>
    <w:rsid w:val="005F41D0"/>
    <w:rsid w:val="005F4963"/>
    <w:rsid w:val="005F51EC"/>
    <w:rsid w:val="005F535C"/>
    <w:rsid w:val="00601E23"/>
    <w:rsid w:val="00602FEC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8D5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5240"/>
    <w:rsid w:val="006A7FAD"/>
    <w:rsid w:val="006B052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55E7"/>
    <w:rsid w:val="00707939"/>
    <w:rsid w:val="007116A5"/>
    <w:rsid w:val="00715047"/>
    <w:rsid w:val="00715759"/>
    <w:rsid w:val="0072177D"/>
    <w:rsid w:val="00734129"/>
    <w:rsid w:val="00734ECA"/>
    <w:rsid w:val="00737639"/>
    <w:rsid w:val="0074107F"/>
    <w:rsid w:val="00742A77"/>
    <w:rsid w:val="00743C01"/>
    <w:rsid w:val="00765106"/>
    <w:rsid w:val="007664DF"/>
    <w:rsid w:val="0076677E"/>
    <w:rsid w:val="00771F58"/>
    <w:rsid w:val="0077549C"/>
    <w:rsid w:val="00776D12"/>
    <w:rsid w:val="00780B83"/>
    <w:rsid w:val="00781B8A"/>
    <w:rsid w:val="00794EBE"/>
    <w:rsid w:val="007A4D2F"/>
    <w:rsid w:val="007B5DAD"/>
    <w:rsid w:val="007B68C8"/>
    <w:rsid w:val="007C2EBD"/>
    <w:rsid w:val="007C3B3B"/>
    <w:rsid w:val="007C466B"/>
    <w:rsid w:val="007D21F4"/>
    <w:rsid w:val="007D3664"/>
    <w:rsid w:val="007F4BC9"/>
    <w:rsid w:val="007F7DA0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36BAE"/>
    <w:rsid w:val="0094297C"/>
    <w:rsid w:val="0094298E"/>
    <w:rsid w:val="00951591"/>
    <w:rsid w:val="00952BB7"/>
    <w:rsid w:val="00953843"/>
    <w:rsid w:val="00954CD4"/>
    <w:rsid w:val="009622F7"/>
    <w:rsid w:val="00963E01"/>
    <w:rsid w:val="009670E5"/>
    <w:rsid w:val="009740E8"/>
    <w:rsid w:val="00990EF3"/>
    <w:rsid w:val="00993284"/>
    <w:rsid w:val="0099354F"/>
    <w:rsid w:val="009A42D1"/>
    <w:rsid w:val="009A4D48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410B"/>
    <w:rsid w:val="00A464B2"/>
    <w:rsid w:val="00A4755D"/>
    <w:rsid w:val="00A5504C"/>
    <w:rsid w:val="00A55BA8"/>
    <w:rsid w:val="00A64024"/>
    <w:rsid w:val="00A65F0B"/>
    <w:rsid w:val="00A66DBF"/>
    <w:rsid w:val="00A71A54"/>
    <w:rsid w:val="00A803EB"/>
    <w:rsid w:val="00A9261E"/>
    <w:rsid w:val="00A95546"/>
    <w:rsid w:val="00A9745F"/>
    <w:rsid w:val="00AB38F9"/>
    <w:rsid w:val="00AB4208"/>
    <w:rsid w:val="00AB474B"/>
    <w:rsid w:val="00AB5C5E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1B64"/>
    <w:rsid w:val="00B13086"/>
    <w:rsid w:val="00B17819"/>
    <w:rsid w:val="00B33CF0"/>
    <w:rsid w:val="00B36F33"/>
    <w:rsid w:val="00B557A3"/>
    <w:rsid w:val="00B55DC6"/>
    <w:rsid w:val="00B66F8D"/>
    <w:rsid w:val="00B75EA4"/>
    <w:rsid w:val="00B77184"/>
    <w:rsid w:val="00B833E9"/>
    <w:rsid w:val="00B87E9C"/>
    <w:rsid w:val="00B963AB"/>
    <w:rsid w:val="00BA66DD"/>
    <w:rsid w:val="00BA68E4"/>
    <w:rsid w:val="00BA6C62"/>
    <w:rsid w:val="00BB25C0"/>
    <w:rsid w:val="00BB3453"/>
    <w:rsid w:val="00BB7632"/>
    <w:rsid w:val="00BC3F96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290"/>
    <w:rsid w:val="00C84E08"/>
    <w:rsid w:val="00CA0FE6"/>
    <w:rsid w:val="00CA2FB8"/>
    <w:rsid w:val="00CA342E"/>
    <w:rsid w:val="00CA722A"/>
    <w:rsid w:val="00CB18D6"/>
    <w:rsid w:val="00CB2D28"/>
    <w:rsid w:val="00CC2926"/>
    <w:rsid w:val="00CC3DC7"/>
    <w:rsid w:val="00CD32B0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17C7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E78BA"/>
    <w:rsid w:val="00DF002A"/>
    <w:rsid w:val="00DF25C2"/>
    <w:rsid w:val="00E042C2"/>
    <w:rsid w:val="00E043D0"/>
    <w:rsid w:val="00E07BF6"/>
    <w:rsid w:val="00E12BE8"/>
    <w:rsid w:val="00E3048F"/>
    <w:rsid w:val="00E332AB"/>
    <w:rsid w:val="00E37E85"/>
    <w:rsid w:val="00E42CA6"/>
    <w:rsid w:val="00E4509C"/>
    <w:rsid w:val="00E479A7"/>
    <w:rsid w:val="00E524FE"/>
    <w:rsid w:val="00E56CAE"/>
    <w:rsid w:val="00E60EBA"/>
    <w:rsid w:val="00E62737"/>
    <w:rsid w:val="00E66244"/>
    <w:rsid w:val="00E66584"/>
    <w:rsid w:val="00E73B94"/>
    <w:rsid w:val="00E8328C"/>
    <w:rsid w:val="00E83354"/>
    <w:rsid w:val="00E920FA"/>
    <w:rsid w:val="00E94954"/>
    <w:rsid w:val="00E96527"/>
    <w:rsid w:val="00EA57CB"/>
    <w:rsid w:val="00EA5BD5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44113"/>
    <w:rsid w:val="00F50129"/>
    <w:rsid w:val="00F50EC7"/>
    <w:rsid w:val="00F57423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0092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246B2-535A-4EA3-98E5-934B41A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9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9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C3F9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9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C3F9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9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9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9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C3F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F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C3F9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3F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9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96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3F9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F9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5F496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F4963"/>
  </w:style>
  <w:style w:type="paragraph" w:customStyle="1" w:styleId="wyq050---odeljak">
    <w:name w:val="wyq050---odeljak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5F4963"/>
  </w:style>
  <w:style w:type="paragraph" w:customStyle="1" w:styleId="normalprored">
    <w:name w:val="normalprored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5F4963"/>
  </w:style>
  <w:style w:type="paragraph" w:customStyle="1" w:styleId="normalcentaritalic">
    <w:name w:val="normalcentaritalic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60E49-C561-496D-A987-F4765A05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4050</Words>
  <Characters>23088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41</cp:revision>
  <cp:lastPrinted>2017-04-16T07:50:00Z</cp:lastPrinted>
  <dcterms:created xsi:type="dcterms:W3CDTF">2017-06-25T21:39:00Z</dcterms:created>
  <dcterms:modified xsi:type="dcterms:W3CDTF">2025-07-16T07:24:00Z</dcterms:modified>
</cp:coreProperties>
</file>